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ind w:left="0" w:right="0" w:firstLine="270"/>
        <w:jc w:val="center"/>
        <w:rPr/>
      </w:pPr>
      <w:r>
        <w:rPr>
          <w:color w:val="000000"/>
        </w:rPr>
        <w:t> </w:t>
      </w:r>
      <w:r>
        <w:rPr>
          <w:rFonts w:ascii="Times New Roman;sans-serif" w:hAnsi="Times New Roman;sans-serif"/>
          <w:b/>
          <w:color w:val="000000"/>
          <w:sz w:val="18"/>
        </w:rPr>
        <w:t xml:space="preserve">For the quarterly period ended March 31, 2025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18"/>
        </w:rPr>
        <w:t>Or</w:t>
      </w: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001-41850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BEYOND,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 </w:t>
      </w:r>
    </w:p>
    <w:tbl>
      <w:tblPr>
        <w:tblW w:w="7596" w:type="dxa"/>
        <w:jc w:val="left"/>
        <w:tblInd w:w="0" w:type="dxa"/>
        <w:tblLayout w:type="fixed"/>
        <w:tblCellMar>
          <w:top w:w="28" w:type="dxa"/>
          <w:left w:w="28" w:type="dxa"/>
          <w:bottom w:w="28" w:type="dxa"/>
          <w:right w:w="28" w:type="dxa"/>
        </w:tblCellMar>
      </w:tblPr>
      <w:tblGrid>
        <w:gridCol w:w="531"/>
        <w:gridCol w:w="466"/>
        <w:gridCol w:w="466"/>
        <w:gridCol w:w="466"/>
        <w:gridCol w:w="466"/>
        <w:gridCol w:w="466"/>
        <w:gridCol w:w="466"/>
        <w:gridCol w:w="466"/>
        <w:gridCol w:w="491"/>
        <w:gridCol w:w="109"/>
        <w:gridCol w:w="109"/>
        <w:gridCol w:w="109"/>
        <w:gridCol w:w="870"/>
        <w:gridCol w:w="870"/>
        <w:gridCol w:w="1245"/>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87-0634302</w:t>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Number)</w:t>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433 W. Ascension Way, 3rd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Murray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Utah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84123</w:t>
            </w:r>
          </w:p>
        </w:tc>
      </w:tr>
      <w:tr>
        <w:trPr/>
        <w:tc>
          <w:tcPr>
            <w:tcW w:w="4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(801) 947-3100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ind w:left="0" w:right="0" w:firstLine="27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971" w:type="dxa"/>
        <w:jc w:val="center"/>
        <w:tblInd w:w="0" w:type="dxa"/>
        <w:tblLayout w:type="fixed"/>
        <w:tblCellMar>
          <w:top w:w="28" w:type="dxa"/>
          <w:left w:w="28" w:type="dxa"/>
          <w:bottom w:w="28" w:type="dxa"/>
          <w:right w:w="28" w:type="dxa"/>
        </w:tblCellMar>
      </w:tblPr>
      <w:tblGrid>
        <w:gridCol w:w="935"/>
        <w:gridCol w:w="824"/>
        <w:gridCol w:w="835"/>
        <w:gridCol w:w="109"/>
        <w:gridCol w:w="109"/>
        <w:gridCol w:w="109"/>
        <w:gridCol w:w="484"/>
        <w:gridCol w:w="484"/>
        <w:gridCol w:w="486"/>
        <w:gridCol w:w="109"/>
        <w:gridCol w:w="109"/>
        <w:gridCol w:w="109"/>
        <w:gridCol w:w="956"/>
        <w:gridCol w:w="956"/>
        <w:gridCol w:w="1357"/>
      </w:tblGrid>
      <w:tr>
        <w:trPr/>
        <w:tc>
          <w:tcPr>
            <w:tcW w:w="935"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BYON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No </w:t>
      </w:r>
      <w:r>
        <w:rPr>
          <w:color w:val="000000"/>
        </w:rPr>
        <w:t>☐</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 </w:t>
      </w:r>
      <w:r>
        <w:rPr>
          <w:color w:val="000000"/>
        </w:rPr>
        <w:t xml:space="preserve">☒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57,679,459 shares of the registrant's common stock, par value $0.0001, were outstanding on April 25, 2025.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BEYOND,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 TO 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0" w:after="0"/>
        <w:jc w:val="center"/>
        <w:rPr>
          <w:color w:val="000000"/>
        </w:rPr>
      </w:pPr>
      <w:r>
        <w:rPr>
          <w:color w:val="000000"/>
        </w:rPr>
        <w:t> </w:t>
      </w:r>
    </w:p>
    <w:tbl>
      <w:tblPr>
        <w:tblW w:w="9878" w:type="dxa"/>
        <w:jc w:val="left"/>
        <w:tblInd w:w="0" w:type="dxa"/>
        <w:tblLayout w:type="fixed"/>
        <w:tblCellMar>
          <w:top w:w="28" w:type="dxa"/>
          <w:left w:w="28" w:type="dxa"/>
          <w:bottom w:w="28" w:type="dxa"/>
          <w:right w:w="28" w:type="dxa"/>
        </w:tblCellMar>
      </w:tblPr>
      <w:tblGrid>
        <w:gridCol w:w="344"/>
        <w:gridCol w:w="301"/>
        <w:gridCol w:w="301"/>
        <w:gridCol w:w="2443"/>
        <w:gridCol w:w="2443"/>
        <w:gridCol w:w="2448"/>
        <w:gridCol w:w="464"/>
        <w:gridCol w:w="464"/>
        <w:gridCol w:w="670"/>
      </w:tblGrid>
      <w:tr>
        <w:trPr/>
        <w:tc>
          <w:tcPr>
            <w:tcW w:w="34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878"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67074a46a1243e4b602fab7b3a560cb_13">
              <w:r>
                <w:rPr>
                  <w:rStyle w:val="InternetLink"/>
                  <w:rFonts w:ascii="Times New Roman;sans-serif" w:hAnsi="Times New Roman;sans-serif"/>
                  <w:b/>
                  <w:strike w:val="false"/>
                  <w:dstrike w:val="false"/>
                  <w:color w:val="000000"/>
                  <w:sz w:val="20"/>
                  <w:u w:val="none"/>
                  <w:effect w:val="none"/>
                </w:rPr>
                <w:t>PART I. FINANCIAL INFORMATION</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7074a46a1243e4b602fab7b3a560cb_16">
              <w:r>
                <w:rPr>
                  <w:rStyle w:val="InternetLink"/>
                  <w:rFonts w:ascii="Times New Roman;sans-serif" w:hAnsi="Times New Roman;sans-serif"/>
                  <w:b w:val="false"/>
                  <w:color w:val="0000FF"/>
                  <w:sz w:val="20"/>
                  <w:u w:val="single"/>
                </w:rPr>
                <w:t>Financial Statements (Unaudited)</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074a46a1243e4b602fab7b3a560cb_16">
              <w:r>
                <w:rPr>
                  <w:rStyle w:val="InternetLink"/>
                  <w:rFonts w:ascii="Times New Roman;sans-serif" w:hAnsi="Times New Roman;sans-serif"/>
                  <w:b w:val="false"/>
                  <w:strike w:val="false"/>
                  <w:dstrike w:val="false"/>
                  <w:color w:val="000000"/>
                  <w:sz w:val="20"/>
                  <w:u w:val="none"/>
                  <w:effect w:val="none"/>
                </w:rPr>
                <w:t>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7074a46a1243e4b602fab7b3a560cb_19">
              <w:r>
                <w:rPr>
                  <w:rStyle w:val="InternetLink"/>
                  <w:rFonts w:ascii="Times New Roman;sans-serif" w:hAnsi="Times New Roman;sans-serif"/>
                  <w:b w:val="false"/>
                  <w:color w:val="0000FF"/>
                  <w:sz w:val="20"/>
                  <w:u w:val="single"/>
                </w:rPr>
                <w:t>Consolidated Balance Sheets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074a46a1243e4b602fab7b3a560cb_19">
              <w:r>
                <w:rPr>
                  <w:rStyle w:val="InternetLink"/>
                  <w:rFonts w:ascii="Times New Roman;sans-serif" w:hAnsi="Times New Roman;sans-serif"/>
                  <w:b w:val="false"/>
                  <w:strike w:val="false"/>
                  <w:dstrike w:val="false"/>
                  <w:color w:val="000000"/>
                  <w:sz w:val="20"/>
                  <w:u w:val="none"/>
                  <w:effect w:val="none"/>
                </w:rPr>
                <w:t>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7074a46a1243e4b602fab7b3a560cb_22">
              <w:r>
                <w:rPr>
                  <w:rStyle w:val="InternetLink"/>
                  <w:rFonts w:ascii="Times New Roman;sans-serif" w:hAnsi="Times New Roman;sans-serif"/>
                  <w:b w:val="false"/>
                  <w:color w:val="000080"/>
                  <w:sz w:val="20"/>
                  <w:u w:val="single"/>
                </w:rPr>
                <w:t>Consolidated Statements of</w:t>
              </w:r>
            </w:hyperlink>
            <w:hyperlink w:anchor="ib67074a46a1243e4b602fab7b3a560cb_25">
              <w:r>
                <w:rPr>
                  <w:rStyle w:val="InternetLink"/>
                  <w:rFonts w:ascii="Times New Roman;sans-serif" w:hAnsi="Times New Roman;sans-serif"/>
                  <w:b w:val="false"/>
                  <w:color w:val="000080"/>
                  <w:sz w:val="20"/>
                  <w:u w:val="single"/>
                </w:rPr>
                <w:t xml:space="preserve"> Operations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074a46a1243e4b602fab7b3a560cb_22">
              <w:r>
                <w:rPr>
                  <w:rStyle w:val="InternetLink"/>
                  <w:rFonts w:ascii="Times New Roman;sans-serif" w:hAnsi="Times New Roman;sans-serif"/>
                  <w:b w:val="false"/>
                  <w:strike w:val="false"/>
                  <w:dstrike w:val="false"/>
                  <w:color w:val="000000"/>
                  <w:sz w:val="20"/>
                  <w:u w:val="none"/>
                  <w:effect w:val="none"/>
                </w:rPr>
                <w:t>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7074a46a1243e4b602fab7b3a560cb_25">
              <w:r>
                <w:rPr>
                  <w:rStyle w:val="InternetLink"/>
                  <w:rFonts w:ascii="Times New Roman;sans-serif" w:hAnsi="Times New Roman;sans-serif"/>
                  <w:b w:val="false"/>
                  <w:color w:val="0000FF"/>
                  <w:sz w:val="20"/>
                  <w:u w:val="single"/>
                </w:rPr>
                <w:t>Consolidated Statements of Comprehensive Loss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074a46a1243e4b602fab7b3a560cb_25">
              <w:r>
                <w:rPr>
                  <w:rStyle w:val="InternetLink"/>
                  <w:rFonts w:ascii="Times New Roman;sans-serif" w:hAnsi="Times New Roman;sans-serif"/>
                  <w:b w:val="false"/>
                  <w:strike w:val="false"/>
                  <w:dstrike w:val="false"/>
                  <w:color w:val="000000"/>
                  <w:sz w:val="20"/>
                  <w:u w:val="none"/>
                  <w:effect w:val="none"/>
                </w:rPr>
                <w:t>7</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7074a46a1243e4b602fab7b3a560cb_28">
              <w:r>
                <w:rPr>
                  <w:rStyle w:val="InternetLink"/>
                  <w:rFonts w:ascii="Times New Roman;sans-serif" w:hAnsi="Times New Roman;sans-serif"/>
                  <w:b w:val="false"/>
                  <w:color w:val="0000FF"/>
                  <w:sz w:val="20"/>
                  <w:u w:val="single"/>
                </w:rPr>
                <w:t>Consolidated Statements of Changes in Stockholders' Equity</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074a46a1243e4b602fab7b3a560cb_28">
              <w:r>
                <w:rPr>
                  <w:rStyle w:val="InternetLink"/>
                  <w:rFonts w:ascii="Times New Roman;sans-serif" w:hAnsi="Times New Roman;sans-serif"/>
                  <w:b w:val="false"/>
                  <w:strike w:val="false"/>
                  <w:dstrike w:val="false"/>
                  <w:color w:val="000000"/>
                  <w:sz w:val="20"/>
                  <w:u w:val="none"/>
                  <w:effect w:val="none"/>
                </w:rPr>
                <w:t>8</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7074a46a1243e4b602fab7b3a560cb_31">
              <w:r>
                <w:rPr>
                  <w:rStyle w:val="InternetLink"/>
                  <w:rFonts w:ascii="Times New Roman;sans-serif" w:hAnsi="Times New Roman;sans-serif"/>
                  <w:b w:val="false"/>
                  <w:color w:val="0000FF"/>
                  <w:sz w:val="20"/>
                  <w:u w:val="single"/>
                </w:rPr>
                <w:t>Consolidated Statements of Cash Flows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074a46a1243e4b602fab7b3a560cb_31">
              <w:r>
                <w:rPr>
                  <w:rStyle w:val="InternetLink"/>
                  <w:rFonts w:ascii="Times New Roman;sans-serif" w:hAnsi="Times New Roman;sans-serif"/>
                  <w:b w:val="false"/>
                  <w:strike w:val="false"/>
                  <w:dstrike w:val="false"/>
                  <w:color w:val="000000"/>
                  <w:sz w:val="20"/>
                  <w:u w:val="none"/>
                  <w:effect w:val="none"/>
                </w:rPr>
                <w:t>9</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7074a46a1243e4b602fab7b3a560cb_34">
              <w:r>
                <w:rPr>
                  <w:rStyle w:val="InternetLink"/>
                  <w:rFonts w:ascii="Times New Roman;sans-serif" w:hAnsi="Times New Roman;sans-serif"/>
                  <w:b w:val="false"/>
                  <w:color w:val="0000FF"/>
                  <w:sz w:val="20"/>
                  <w:u w:val="single"/>
                </w:rPr>
                <w:t>Notes to Unaudited Consolidated Financial Statements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074a46a1243e4b602fab7b3a560cb_34">
              <w:r>
                <w:rPr>
                  <w:rStyle w:val="InternetLink"/>
                  <w:rFonts w:ascii="Times New Roman;sans-serif" w:hAnsi="Times New Roman;sans-serif"/>
                  <w:b w:val="false"/>
                  <w:strike w:val="false"/>
                  <w:dstrike w:val="false"/>
                  <w:color w:val="000000"/>
                  <w:sz w:val="20"/>
                  <w:u w:val="none"/>
                  <w:effect w:val="none"/>
                </w:rPr>
                <w:t>10</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7074a46a1243e4b602fab7b3a560cb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074a46a1243e4b602fab7b3a560cb_85">
              <w:r>
                <w:rPr>
                  <w:rStyle w:val="InternetLink"/>
                  <w:rFonts w:ascii="Times New Roman;sans-serif" w:hAnsi="Times New Roman;sans-serif"/>
                  <w:b w:val="false"/>
                  <w:strike w:val="false"/>
                  <w:dstrike w:val="false"/>
                  <w:color w:val="000000"/>
                  <w:sz w:val="20"/>
                  <w:u w:val="none"/>
                  <w:effect w:val="none"/>
                </w:rPr>
                <w:t>21</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7074a46a1243e4b602fab7b3a560cb_100">
              <w:r>
                <w:rPr>
                  <w:rStyle w:val="InternetLink"/>
                  <w:rFonts w:ascii="Times New Roman;sans-serif" w:hAnsi="Times New Roman;sans-serif"/>
                  <w:b w:val="false"/>
                  <w:color w:val="0000FF"/>
                  <w:sz w:val="20"/>
                  <w:u w:val="single"/>
                </w:rPr>
                <w:t>Quantitative and Qualitative Disclosures About Market Risk</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074a46a1243e4b602fab7b3a560cb_100">
              <w:r>
                <w:rPr>
                  <w:rStyle w:val="InternetLink"/>
                  <w:rFonts w:ascii="Times New Roman;sans-serif" w:hAnsi="Times New Roman;sans-serif"/>
                  <w:b w:val="false"/>
                  <w:strike w:val="false"/>
                  <w:dstrike w:val="false"/>
                  <w:color w:val="000000"/>
                  <w:sz w:val="20"/>
                  <w:u w:val="none"/>
                  <w:effect w:val="none"/>
                </w:rPr>
                <w:t>30</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7074a46a1243e4b602fab7b3a560cb_103">
              <w:r>
                <w:rPr>
                  <w:rStyle w:val="InternetLink"/>
                  <w:rFonts w:ascii="Times New Roman;sans-serif" w:hAnsi="Times New Roman;sans-serif"/>
                  <w:b w:val="false"/>
                  <w:color w:val="0000FF"/>
                  <w:sz w:val="20"/>
                  <w:u w:val="single"/>
                </w:rPr>
                <w:t>Controls and Procedures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074a46a1243e4b602fab7b3a560cb_103">
              <w:r>
                <w:rPr>
                  <w:rStyle w:val="InternetLink"/>
                  <w:rFonts w:ascii="Times New Roman;sans-serif" w:hAnsi="Times New Roman;sans-serif"/>
                  <w:b w:val="false"/>
                  <w:strike w:val="false"/>
                  <w:dstrike w:val="false"/>
                  <w:color w:val="000000"/>
                  <w:sz w:val="20"/>
                  <w:u w:val="none"/>
                  <w:effect w:val="none"/>
                </w:rPr>
                <w:t>31</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878"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b67074a46a1243e4b602fab7b3a560cb_106">
              <w:r>
                <w:rPr>
                  <w:rStyle w:val="InternetLink"/>
                  <w:rFonts w:ascii="Times New Roman;sans-serif" w:hAnsi="Times New Roman;sans-serif"/>
                  <w:b/>
                  <w:strike w:val="false"/>
                  <w:dstrike w:val="false"/>
                  <w:color w:val="000000"/>
                  <w:sz w:val="20"/>
                  <w:u w:val="none"/>
                  <w:effect w:val="none"/>
                </w:rPr>
                <w:t>PART II. OTHER INFORMATION</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7074a46a1243e4b602fab7b3a560cb_109">
              <w:r>
                <w:rPr>
                  <w:rStyle w:val="InternetLink"/>
                  <w:rFonts w:ascii="Times New Roman;sans-serif" w:hAnsi="Times New Roman;sans-serif"/>
                  <w:b w:val="false"/>
                  <w:color w:val="0000FF"/>
                  <w:sz w:val="20"/>
                  <w:u w:val="single"/>
                </w:rPr>
                <w:t>Legal Proceedings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074a46a1243e4b602fab7b3a560cb_109">
              <w:r>
                <w:rPr>
                  <w:rStyle w:val="InternetLink"/>
                  <w:rFonts w:ascii="Times New Roman;sans-serif" w:hAnsi="Times New Roman;sans-serif"/>
                  <w:b w:val="false"/>
                  <w:strike w:val="false"/>
                  <w:dstrike w:val="false"/>
                  <w:color w:val="000000"/>
                  <w:sz w:val="20"/>
                  <w:u w:val="none"/>
                  <w:effect w:val="none"/>
                </w:rPr>
                <w:t>32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7074a46a1243e4b602fab7b3a560cb_112">
              <w:r>
                <w:rPr>
                  <w:rStyle w:val="InternetLink"/>
                  <w:rFonts w:ascii="Times New Roman;sans-serif" w:hAnsi="Times New Roman;sans-serif"/>
                  <w:b w:val="false"/>
                  <w:color w:val="0000FF"/>
                  <w:sz w:val="20"/>
                  <w:u w:val="single"/>
                </w:rPr>
                <w:t>Risk Factors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074a46a1243e4b602fab7b3a560cb_112">
              <w:r>
                <w:rPr>
                  <w:rStyle w:val="InternetLink"/>
                  <w:rFonts w:ascii="Times New Roman;sans-serif" w:hAnsi="Times New Roman;sans-serif"/>
                  <w:b w:val="false"/>
                  <w:strike w:val="false"/>
                  <w:dstrike w:val="false"/>
                  <w:color w:val="000000"/>
                  <w:sz w:val="20"/>
                  <w:u w:val="none"/>
                  <w:effect w:val="none"/>
                </w:rPr>
                <w:t>32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7074a46a1243e4b602fab7b3a560cb_115">
              <w:r>
                <w:rPr>
                  <w:rStyle w:val="InternetLink"/>
                  <w:rFonts w:ascii="Times New Roman;sans-serif" w:hAnsi="Times New Roman;sans-serif"/>
                  <w:b w:val="false"/>
                  <w:color w:val="0000FF"/>
                  <w:sz w:val="20"/>
                  <w:u w:val="single"/>
                </w:rPr>
                <w:t>Unregistered Sales of Equity Securities and Use of Proceeds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074a46a1243e4b602fab7b3a560cb_115">
              <w:r>
                <w:rPr>
                  <w:rStyle w:val="InternetLink"/>
                  <w:rFonts w:ascii="Times New Roman;sans-serif" w:hAnsi="Times New Roman;sans-serif"/>
                  <w:b w:val="false"/>
                  <w:strike w:val="false"/>
                  <w:dstrike w:val="false"/>
                  <w:color w:val="000000"/>
                  <w:sz w:val="20"/>
                  <w:u w:val="none"/>
                  <w:effect w:val="none"/>
                </w:rPr>
                <w:t>32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7074a46a1243e4b602fab7b3a560cb_118">
              <w:r>
                <w:rPr>
                  <w:rStyle w:val="InternetLink"/>
                  <w:rFonts w:ascii="Times New Roman;sans-serif" w:hAnsi="Times New Roman;sans-serif"/>
                  <w:b w:val="false"/>
                  <w:color w:val="0000FF"/>
                  <w:sz w:val="20"/>
                  <w:u w:val="single"/>
                </w:rPr>
                <w:t>Defaults Upon Senior Securities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074a46a1243e4b602fab7b3a560cb_118">
              <w:r>
                <w:rPr>
                  <w:rStyle w:val="InternetLink"/>
                  <w:rFonts w:ascii="Times New Roman;sans-serif" w:hAnsi="Times New Roman;sans-serif"/>
                  <w:b w:val="false"/>
                  <w:strike w:val="false"/>
                  <w:dstrike w:val="false"/>
                  <w:color w:val="000000"/>
                  <w:sz w:val="20"/>
                  <w:u w:val="none"/>
                  <w:effect w:val="none"/>
                </w:rPr>
                <w:t>32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7074a46a1243e4b602fab7b3a560cb_121">
              <w:r>
                <w:rPr>
                  <w:rStyle w:val="InternetLink"/>
                  <w:rFonts w:ascii="Times New Roman;sans-serif" w:hAnsi="Times New Roman;sans-serif"/>
                  <w:b w:val="false"/>
                  <w:color w:val="0000FF"/>
                  <w:sz w:val="20"/>
                  <w:u w:val="single"/>
                </w:rPr>
                <w:t>Mine Safety Disclosures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074a46a1243e4b602fab7b3a560cb_121">
              <w:r>
                <w:rPr>
                  <w:rStyle w:val="InternetLink"/>
                  <w:rFonts w:ascii="Times New Roman;sans-serif" w:hAnsi="Times New Roman;sans-serif"/>
                  <w:b w:val="false"/>
                  <w:strike w:val="false"/>
                  <w:dstrike w:val="false"/>
                  <w:color w:val="000000"/>
                  <w:sz w:val="20"/>
                  <w:u w:val="none"/>
                  <w:effect w:val="none"/>
                </w:rPr>
                <w:t>33</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7074a46a1243e4b602fab7b3a560cb_124">
              <w:r>
                <w:rPr>
                  <w:rStyle w:val="InternetLink"/>
                  <w:rFonts w:ascii="Times New Roman;sans-serif" w:hAnsi="Times New Roman;sans-serif"/>
                  <w:b w:val="false"/>
                  <w:color w:val="0000FF"/>
                  <w:sz w:val="20"/>
                  <w:u w:val="single"/>
                </w:rPr>
                <w:t>Other Information</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074a46a1243e4b602fab7b3a560cb_124">
              <w:r>
                <w:rPr>
                  <w:rStyle w:val="InternetLink"/>
                  <w:rFonts w:ascii="Times New Roman;sans-serif" w:hAnsi="Times New Roman;sans-serif"/>
                  <w:b w:val="false"/>
                  <w:strike w:val="false"/>
                  <w:dstrike w:val="false"/>
                  <w:color w:val="000000"/>
                  <w:sz w:val="20"/>
                  <w:u w:val="none"/>
                  <w:effect w:val="none"/>
                </w:rPr>
                <w:t>33</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67074a46a1243e4b602fab7b3a560cb_127">
              <w:r>
                <w:rPr>
                  <w:rStyle w:val="InternetLink"/>
                  <w:rFonts w:ascii="Times New Roman;sans-serif" w:hAnsi="Times New Roman;sans-serif"/>
                  <w:b w:val="false"/>
                  <w:color w:val="0000FF"/>
                  <w:sz w:val="20"/>
                  <w:u w:val="single"/>
                </w:rPr>
                <w:t>Exhibits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074a46a1243e4b602fab7b3a560cb_127">
              <w:r>
                <w:rPr>
                  <w:rStyle w:val="InternetLink"/>
                  <w:rFonts w:ascii="Times New Roman;sans-serif" w:hAnsi="Times New Roman;sans-serif"/>
                  <w:b w:val="false"/>
                  <w:strike w:val="false"/>
                  <w:dstrike w:val="false"/>
                  <w:color w:val="000000"/>
                  <w:sz w:val="20"/>
                  <w:u w:val="none"/>
                  <w:effect w:val="none"/>
                </w:rPr>
                <w:t>34</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28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67074a46a1243e4b602fab7b3a560cb_130">
              <w:r>
                <w:rPr>
                  <w:rStyle w:val="InternetLink"/>
                  <w:rFonts w:ascii="Times New Roman;sans-serif" w:hAnsi="Times New Roman;sans-serif"/>
                  <w:b w:val="false"/>
                  <w:color w:val="0000FF"/>
                  <w:sz w:val="20"/>
                  <w:u w:val="single"/>
                </w:rPr>
                <w:t>Signatures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67074a46a1243e4b602fab7b3a560cb_130">
              <w:r>
                <w:rPr>
                  <w:rStyle w:val="InternetLink"/>
                  <w:rFonts w:ascii="Times New Roman;sans-serif" w:hAnsi="Times New Roman;sans-serif"/>
                  <w:b w:val="false"/>
                  <w:strike w:val="false"/>
                  <w:dstrike w:val="false"/>
                  <w:color w:val="000000"/>
                  <w:sz w:val="20"/>
                  <w:u w:val="none"/>
                  <w:effect w:val="none"/>
                </w:rPr>
                <w:t>35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SPECIAL CAUTIONARY NOTE REGARDING FORWARD-LOOKING STATEMENTS</w:t>
      </w:r>
    </w:p>
    <w:p>
      <w:pPr>
        <w:pStyle w:val="TextBody"/>
        <w:bidi w:val="0"/>
        <w:spacing w:lineRule="auto" w:line="288" w:before="0" w:after="0"/>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This Quarterly Report on Form 10-Q and the information incorporated herein by reference, and our other public documents and statements our officers and representatives may make from time to time, contain forward-looking statements within the meaning of the federal securities laws. These statements are intended to be covered by the safe harbor provisions of these laws. You can find many of these statements by looking for words such as "may," "would," "could," "should," "will," "expect," "anticipate," "predict," "project," "potential," "continue," "contemplate," "seek," "assume," "believe," "intend," "plan," "forecast," "goal," "estimate," or other similar terms or expressions or the negative of these terms or expressions, although not all forward-looking statements contain these identifying terms or expressions. </w:t>
      </w:r>
    </w:p>
    <w:p>
      <w:pPr>
        <w:pStyle w:val="TextBody"/>
        <w:bidi w:val="0"/>
        <w:spacing w:before="0" w:after="0"/>
        <w:ind w:left="0" w:right="0" w:firstLine="630"/>
        <w:jc w:val="left"/>
        <w:rPr/>
      </w:pPr>
      <w:r>
        <w:rPr/>
      </w:r>
    </w:p>
    <w:p>
      <w:pPr>
        <w:pStyle w:val="TextBody"/>
        <w:bidi w:val="0"/>
        <w:spacing w:lineRule="auto" w:line="288" w:before="0" w:after="0"/>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These forward-looking statements involve known and unknown risks and uncertainties and relate to future events or our future financial or operating performance. These forward-looking statements are not historical facts, and are based on current expectations, estimates and projections about our industry and business, and on management's beliefs and certain assumptions made by management, many of which, by their nature, are inherently uncertain and beyond our control. Accordingly, you are cautioned that any such forward-looking statements are not guarantees of future performance and are subject to assumptions, risks, uncertainties, and other important factors that are difficult to predict, and that actual results and outcomes may be materially different from the results, performance, achievements, or outcomes expressed or implied by any of our forward-looking statements for a variety of reasons, including among others: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We depend on third-party companies to perform functions critical to our business, and any failure or increased cost on their part could have a material adverse effect on our business.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We face intense competition and may not be able to compete successfully against existing or future competitors.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We may not timely identify or effectively respond to consumer needs, expectations or trends, which could adversely affect our relationship with our customers, the demand for our products and services, and our market share.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Our business depends on effective marketing, including marketing via email, search engine marketing, influencer marketing, and social media marketing. Our competitors have and may continue to cause us to increase our marketing costs and decrease certain other types of marketing, and have and may continue to outspend us on marketing or be more efficient in their spend.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Economic factors, including recessions, other economic downturns, inflation, our exposure to the U.S. housing market, and decreases in consumer spending, have affected and could continue to adversely affect us.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Trade policies or restrictions, import and export policies, tariffs, bans, or other measures or events and related macroeconomic effects.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Our changing business model and use of the Overstock brand, Bed Bath &amp; Beyond brand, buybuy BABY brand, and other brands of ours, could negatively impact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The changing job market, the changes in our leadership team, the change in our compensation approach, changing job structures, or any inability to attract, retain and engage key personnel could affect our ability to successfully grow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We rely upon paid and natural search engines to rank our product offerings, and our financial results may suffer if we are unable to maintain our prior rankings in natural searches.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If we are not profitable and/or are unable to generate sufficient positive cash flow from operations, our ability to continue in business will depend on our ability to raise additional capital, obtain financing or monetize significant assets, and we may be unable to do so.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Our business depends on the Internet, our infrastructure and transaction-processing systems, and catastrophic events could adversely affect our operating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Compliance with ever-evolving federal, state, and foreign laws and other requirements relating to the handling of information about individuals necessitates significant expenditure and resources, and any failure by us, our vendors or our business partners to comply may result in significant liability, negative publicity, and/or an erosion of trust, which could materially adversely affect our business, results of operations, and financial condition.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If we or our third-party providers experience cyberattacks or data security incidents, there may be damage to our brand and reputation, material financial penalties, and legal liability, which would materially adversely affect our business, results of operations, and financial condition.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Failure to comply with, or changes in, laws, regulations and enforcement activities may adversely affect the products, services and markets in which we operate.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From time to time we are subject to various legal proceedings which could adversely affect our business, financial condition or results of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Damage to our reputation or brand image could adversely affect our sales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If we do not successfully optimize and operate shipping operations or customer service operations, our business could be harmed.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If we fail to effectively utilize technological advancements, including in artificial intelligence, our business and financial performance could be negatively impacted.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Global conflict could negatively impact our business, results of operations, and financial condition.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Product safety and quality concerns could have a material adverse impact on our revenue and profitability.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We depend on our suppliers' and fulfillment partners' representations regarding product safety, content and quality, product compliance with various laws and regulations, including registration and/or reporting obligations, and for proper labeling of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We have an evolving business model, which increases the complexity of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Investment in new business strategies, acquisitions, dispositions, partnerships, or other transactions could disrupt our ongoing business, present risks not originally contemplated and materially adversely affect our business, reputation, results of operations and financial condition.</w:t>
      </w:r>
    </w:p>
    <w:p>
      <w:pPr>
        <w:pStyle w:val="TextBody"/>
        <w:bidi w:val="0"/>
        <w:spacing w:before="0" w:after="0"/>
        <w:jc w:val="left"/>
        <w:rPr/>
      </w:pPr>
      <w:r>
        <w:rPr/>
      </w:r>
    </w:p>
    <w:p>
      <w:pPr>
        <w:pStyle w:val="TextBody"/>
        <w:bidi w:val="0"/>
        <w:spacing w:lineRule="auto" w:line="288" w:before="0" w:after="0"/>
        <w:ind w:left="0" w:right="0" w:firstLine="630"/>
        <w:jc w:val="left"/>
        <w:rPr>
          <w:rFonts w:ascii="Times New Roman;sans-serif" w:hAnsi="Times New Roman;sans-serif"/>
          <w:b w:val="false"/>
          <w:i/>
          <w:color w:val="000000"/>
          <w:sz w:val="20"/>
        </w:rPr>
      </w:pPr>
      <w:r>
        <w:rPr>
          <w:rFonts w:ascii="Times New Roman;sans-serif" w:hAnsi="Times New Roman;sans-serif"/>
          <w:b w:val="false"/>
          <w:i/>
          <w:color w:val="000000"/>
          <w:sz w:val="20"/>
        </w:rPr>
        <w:t>In evaluating all forward-looking statements, you should specifically consider the risks outlined above and in this report and our Annual Report on Form 10-K for the year ended December 31, 2024, filed with the SEC on February 25, 2025, especially under the headings "Special Cautionary Note Regarding Forward-Looking Statements," "Summary of Risk Factors," "Risk Factors," "Legal Proceedings," and "Management's Discussion and Analysis of Financial Condition and Results of Operations." These factors may cause our actual results and outcomes to differ materially from those contemplated by any forward-looking statement. Although we believe that our expectations reflected in the forward-looking statements are reasonable, we cannot guarantee or offer any assurance of future results, levels of activity, performance or achievements or other future events. Our forward-looking statements contained in this report speak only as of the date of this report and, except as required by law, we undertake no obligation to update forward-looking statements to reflect events or circumstances occurring after the date of this report or any changes in our expectations or any change in any events, conditions or circumstances on which any of our forward-looking statements are based.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554"/>
        <w:gridCol w:w="2235"/>
        <w:gridCol w:w="2254"/>
        <w:gridCol w:w="249"/>
        <w:gridCol w:w="980"/>
        <w:gridCol w:w="129"/>
        <w:gridCol w:w="129"/>
        <w:gridCol w:w="129"/>
        <w:gridCol w:w="129"/>
        <w:gridCol w:w="249"/>
        <w:gridCol w:w="980"/>
        <w:gridCol w:w="188"/>
      </w:tblGrid>
      <w:tr>
        <w:trPr/>
        <w:tc>
          <w:tcPr>
            <w:tcW w:w="2554"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Beyond, Inc.</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(Unaudited)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c>
      </w:tr>
      <w:tr>
        <w:trPr/>
        <w:tc>
          <w:tcPr>
            <w:tcW w:w="7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114,576 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159,169 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$2,680 and $2,236</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current assets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196,464 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227,507 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including securities measured at fair value of $25,400 and $21,640</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78,186 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363,725 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401,954 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3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81,939 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61,568 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73,614 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 net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206,147 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224,861 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220,357 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239,222 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3162" w:type="dxa"/>
            <w:gridSpan w:val="9"/>
            <w:tcBorders/>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3162" w:type="dxa"/>
            <w:gridSpan w:val="9"/>
            <w:tcBorders/>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authorized shares - 5,000, issued and outstanding - none</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authorized shares - 100,000</w:t>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shares - 63,413 and 59,560</w:t>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shares - 56,832 and 53,069</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1,093,943 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1,072,869 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(780,378)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(740,466)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- 6,581 and 6,491</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(170,203)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(169,676)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r>
      <w:tr>
        <w:trPr/>
        <w:tc>
          <w:tcPr>
            <w:tcW w:w="7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143,368 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162,732 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363,725 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401,954 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Beyond,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color w:val="000000"/>
        </w:rPr>
      </w:pPr>
      <w:r>
        <w:rPr>
          <w:color w:val="000000"/>
        </w:rPr>
        <w:t> </w:t>
      </w:r>
    </w:p>
    <w:tbl>
      <w:tblPr>
        <w:tblW w:w="7750" w:type="dxa"/>
        <w:jc w:val="center"/>
        <w:tblInd w:w="0" w:type="dxa"/>
        <w:tblLayout w:type="fixed"/>
        <w:tblCellMar>
          <w:top w:w="28" w:type="dxa"/>
          <w:left w:w="28" w:type="dxa"/>
          <w:bottom w:w="28" w:type="dxa"/>
          <w:right w:w="28" w:type="dxa"/>
        </w:tblCellMar>
      </w:tblPr>
      <w:tblGrid>
        <w:gridCol w:w="1682"/>
        <w:gridCol w:w="1481"/>
        <w:gridCol w:w="1487"/>
        <w:gridCol w:w="211"/>
        <w:gridCol w:w="826"/>
        <w:gridCol w:w="109"/>
        <w:gridCol w:w="109"/>
        <w:gridCol w:w="109"/>
        <w:gridCol w:w="109"/>
        <w:gridCol w:w="211"/>
        <w:gridCol w:w="826"/>
        <w:gridCol w:w="109"/>
        <w:gridCol w:w="109"/>
        <w:gridCol w:w="109"/>
        <w:gridCol w:w="109"/>
        <w:gridCol w:w="154"/>
      </w:tblGrid>
      <w:tr>
        <w:trPr/>
        <w:tc>
          <w:tcPr>
            <w:tcW w:w="1682"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service and merchant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common stock:</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Beyond,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color w:val="000000"/>
        </w:rPr>
      </w:pPr>
      <w:r>
        <w:rPr>
          <w:color w:val="000000"/>
        </w:rPr>
        <w:t> </w:t>
      </w:r>
    </w:p>
    <w:tbl>
      <w:tblPr>
        <w:tblW w:w="9190" w:type="dxa"/>
        <w:jc w:val="center"/>
        <w:tblInd w:w="0" w:type="dxa"/>
        <w:tblLayout w:type="fixed"/>
        <w:tblCellMar>
          <w:top w:w="28" w:type="dxa"/>
          <w:left w:w="28" w:type="dxa"/>
          <w:bottom w:w="28" w:type="dxa"/>
          <w:right w:w="28" w:type="dxa"/>
        </w:tblCellMar>
      </w:tblPr>
      <w:tblGrid>
        <w:gridCol w:w="2225"/>
        <w:gridCol w:w="1944"/>
        <w:gridCol w:w="1981"/>
        <w:gridCol w:w="211"/>
        <w:gridCol w:w="796"/>
        <w:gridCol w:w="109"/>
        <w:gridCol w:w="109"/>
        <w:gridCol w:w="109"/>
        <w:gridCol w:w="109"/>
        <w:gridCol w:w="211"/>
        <w:gridCol w:w="796"/>
        <w:gridCol w:w="109"/>
        <w:gridCol w:w="109"/>
        <w:gridCol w:w="109"/>
        <w:gridCol w:w="109"/>
        <w:gridCol w:w="154"/>
      </w:tblGrid>
      <w:tr>
        <w:trPr/>
        <w:tc>
          <w:tcPr>
            <w:tcW w:w="2225"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cash flow hedges, net of expense for taxes of $0 and $0</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13"/>
        <w:gridCol w:w="1399"/>
        <w:gridCol w:w="1409"/>
        <w:gridCol w:w="382"/>
        <w:gridCol w:w="1772"/>
        <w:gridCol w:w="197"/>
        <w:gridCol w:w="197"/>
        <w:gridCol w:w="197"/>
        <w:gridCol w:w="197"/>
        <w:gridCol w:w="382"/>
        <w:gridCol w:w="1772"/>
        <w:gridCol w:w="197"/>
        <w:gridCol w:w="109"/>
        <w:gridCol w:w="109"/>
        <w:gridCol w:w="109"/>
        <w:gridCol w:w="164"/>
      </w:tblGrid>
      <w:tr>
        <w:trPr/>
        <w:tc>
          <w:tcPr>
            <w:tcW w:w="161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714"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Beyond, Inc.</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 (Unaudited)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ableContents"/>
              <w:bidi w:val="0"/>
              <w:spacing w:before="0" w:after="0"/>
              <w:jc w:val="center"/>
              <w:rPr/>
            </w:pPr>
            <w:r>
              <w:rPr/>
            </w:r>
          </w:p>
        </w:tc>
        <w:tc>
          <w:tcPr>
            <w:tcW w:w="491" w:type="dxa"/>
            <w:gridSpan w:val="4"/>
            <w:tcBorders/>
          </w:tcPr>
          <w:p>
            <w:pPr>
              <w:pStyle w:val="TableContents"/>
              <w:bidi w:val="0"/>
              <w:spacing w:before="0" w:after="283"/>
              <w:jc w:val="left"/>
              <w:rPr>
                <w:sz w:val="4"/>
                <w:szCs w:val="4"/>
              </w:rPr>
            </w:pPr>
            <w:r>
              <w:rPr>
                <w:sz w:val="4"/>
                <w:szCs w:val="4"/>
              </w:rPr>
            </w:r>
          </w:p>
        </w:tc>
      </w:tr>
      <w:tr>
        <w:trPr/>
        <w:tc>
          <w:tcPr>
            <w:tcW w:w="44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4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 attributable to stockholders of Beyond, Inc.</w:t>
            </w:r>
          </w:p>
        </w:tc>
        <w:tc>
          <w:tcPr>
            <w:tcW w:w="2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issued</w:t>
            </w:r>
          </w:p>
        </w:tc>
        <w:tc>
          <w:tcPr>
            <w:tcW w:w="2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issued upon vesting of restricted stock </w:t>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ESPP purchases</w:t>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sold through offerings</w:t>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63,413 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treasury stock</w:t>
            </w:r>
          </w:p>
        </w:tc>
        <w:tc>
          <w:tcPr>
            <w:tcW w:w="2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upon vesting of employee stock awards</w:t>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outstanding</w:t>
            </w:r>
          </w:p>
        </w:tc>
        <w:tc>
          <w:tcPr>
            <w:tcW w:w="2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45,733 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sold through offerings</w:t>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5784" w:type="dxa"/>
            <w:gridSpan w:val="13"/>
            <w:tcBorders/>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491" w:type="dxa"/>
            <w:gridSpan w:val="4"/>
            <w:tcBorders/>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2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1,072,869 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1,007,649 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to employees and directors</w:t>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ESPP purchases</w:t>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sold through offerings, net</w:t>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1,093,943 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1,013,360 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2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(740,466)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(481,671)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(780,378)</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(555,599)</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5784" w:type="dxa"/>
            <w:gridSpan w:val="13"/>
            <w:tcBorders/>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491" w:type="dxa"/>
            <w:gridSpan w:val="4"/>
            <w:tcBorders/>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2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income</w:t>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w:t>
            </w:r>
          </w:p>
        </w:tc>
        <w:tc>
          <w:tcPr>
            <w:tcW w:w="2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(169,676)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(166,345)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withholding upon vesting of employee stock awards </w:t>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(170,203)</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(169,517)</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143,368 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287,747 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44"/>
        <w:gridCol w:w="1799"/>
        <w:gridCol w:w="1800"/>
        <w:gridCol w:w="231"/>
        <w:gridCol w:w="449"/>
        <w:gridCol w:w="1760"/>
        <w:gridCol w:w="231"/>
        <w:gridCol w:w="231"/>
        <w:gridCol w:w="231"/>
        <w:gridCol w:w="231"/>
        <w:gridCol w:w="211"/>
        <w:gridCol w:w="826"/>
        <w:gridCol w:w="161"/>
      </w:tblGrid>
      <w:tr>
        <w:trPr/>
        <w:tc>
          <w:tcPr>
            <w:tcW w:w="2044"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007" w:type="dxa"/>
            <w:gridSpan w:val="10"/>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Beyond, Inc.</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(Unaudited)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1198" w:type="dxa"/>
            <w:gridSpan w:val="3"/>
            <w:tcBorders/>
          </w:tcPr>
          <w:p>
            <w:pPr>
              <w:pStyle w:val="TableContents"/>
              <w:bidi w:val="0"/>
              <w:spacing w:before="0" w:after="283"/>
              <w:jc w:val="left"/>
              <w:rPr>
                <w:sz w:val="4"/>
                <w:szCs w:val="4"/>
              </w:rPr>
            </w:pPr>
            <w:r>
              <w:rPr>
                <w:sz w:val="4"/>
                <w:szCs w:val="4"/>
              </w:rPr>
            </w:r>
          </w:p>
        </w:tc>
      </w:tr>
      <w:tr>
        <w:trPr/>
        <w:tc>
          <w:tcPr>
            <w:tcW w:w="5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56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1" w:type="dxa"/>
            <w:tcBorders/>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cost</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to employees and directors</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intangible assets</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equity method securities</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adjustments</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current assets</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(50,921)</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equity securities</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intangible assets</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Expenditures for property and equipment</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intangible assets</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 net</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(13,145)</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4562" w:type="dxa"/>
            <w:gridSpan w:val="10"/>
            <w:tcBorders/>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1891" w:type="dxa"/>
            <w:gridSpan w:val="6"/>
            <w:tcBorders/>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common stock, net of offering costs</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taxes withheld upon vesting of employee stock awards</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 net</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19,454 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(44,612)</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231" w:type="dxa"/>
            <w:tcBorders/>
            <w:vAlign w:val="center"/>
          </w:tcPr>
          <w:p>
            <w:pPr>
              <w:pStyle w:val="TableContents"/>
              <w:bidi w:val="0"/>
              <w:spacing w:before="0" w:after="283"/>
              <w:jc w:val="left"/>
              <w:rPr>
                <w:sz w:val="4"/>
                <w:szCs w:val="4"/>
              </w:rPr>
            </w:pPr>
            <w:r>
              <w:rPr>
                <w:sz w:val="4"/>
                <w:szCs w:val="4"/>
              </w:rPr>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186,093 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31" w:type="dxa"/>
            <w:tcBorders/>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141,481 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256,494 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5643" w:type="dxa"/>
            <w:gridSpan w:val="3"/>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accompanying notes to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Beyond,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 DESCRIPTION OF BUSINESS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Beyond, Inc. is an ecommerce focused affinity company that owns or has ownership interests in various retail brands, offering a comprehensive array of products and services that enable its customers the ability to unlock their homes' potential while supporting their families and all of life's milestones. We currently own Bed Bath &amp; Beyond, Overstock, buybuy BABY, and other related brands and websites.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used herein, "Beyond," "the Company," "we," "our" and similar terms include Beyond, Inc. and its controlled subsidiaries, unless the context indicates otherwise.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prepared the accompanying unaudited consolidated financial statements pursuant to the rules and regulations of the Securities and Exchange Commission ("SEC") regarding interim financial reporting. Accordingly, certain information and footnote disclosures normally included in financial statements prepared in accordance with accounting principles generally accepted in the United States ("GAAP") have been omitted in accordance with the rules and regulations of the SEC. These financial statements should be read in conjunction with our audited annual consolidated financial statements and related notes included in our Annual Report on Form 10-K for the year ended December 31, 2024. There have been no significant changes to our significant accounting policies disclosed in Note 2—Accounting Policies and Supplemental Disclosures, included in Part II, Item 8, Financial Statements and Supplementary Data, of our Annual Report on Form 10-K for the year ended December 31, 2024, except as disclosed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include our accounts and the accounts of our wholly-owned subsidiaries and reflect all adjustments, consisting only of normal recurring adjustments, which are, in our opinion, necessary for a fair presentation of results for the interim periods presented. All intercompany account balances and transactions have been eliminated in consolidation. The results of operations for the three months ended March 31, 2025, are not necessarily indicative of the results to be expected for any future period or the full fiscal year, due to seasonality and other factors.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estimates and assumptions that affect the reported amounts of assets and liabilities, revenues and expenses, and related disclosures of contingent liabilities in our consolidated financial statements and accompanying notes. Estimates are used for, but not limited to, receivables valuation, revenue recognition, loyalty program reward point and gift card breakage, sales returns, inventory valuation, asset useful lives, equity and debt securities valuation, income taxes, stock-based compensation, performance-based compensation, self-funded health insurance liabilities, and contingencies. Although these estimates are based on our best knowledge of current events and actions that we may undertake in the future, our accounting of these estimates may change from period to period. To the extent there are differences between these estimates and actual results, our consolidated financial statements may be materially affected.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standards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xml:space="preserve">, which requires public entities to disclose information about their reportable segments' significant expenses and other segment items on an interim and annual basis. For public entities, ASU 2023-07 is required to be adopted for annual periods beginning after December 15, 2023, and for interim periods within fiscal years beginning after December 15, 2024, with early adoption permitted. The Company adopted the provisions of this ASU as of January 1, 2024, with respect to the annual disclosures beginning with the year ended December 31, 2024 and interim disclosures beginning with the three months ended March 31, 2025, including the presentation of the comparable prior periods. The adoption of this ASU resulted in additional segment reporting disclosures in the Company's consolidated financial statements.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 xml:space="preserve">Income Taxes (Topic 740): Improvements to Income Tax Disclosures, </w:t>
      </w:r>
      <w:r>
        <w:rPr>
          <w:rFonts w:ascii="Times New Roman;sans-serif" w:hAnsi="Times New Roman;sans-serif"/>
          <w:b w:val="false"/>
          <w:color w:val="000000"/>
          <w:sz w:val="20"/>
        </w:rPr>
        <w:t>which requires public entities to disclose disaggregated information about a reporting entity's effective tax rate reconciliation as well as additional information on income taxes paid. For public entities, ASU 2023-09 is required to be adopted for annual periods beginning after December 15, 2024, with early adoption permitted. This ASU will result in us including the additional required disclosures when adopted and does not otherwise have a material impact on the Company's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Income Statement</w:t>
      </w:r>
      <w:r>
        <w:rPr>
          <w:color w:val="000000"/>
        </w:rPr>
        <w:t>—</w:t>
      </w:r>
      <w:r>
        <w:rPr>
          <w:rFonts w:ascii="Times New Roman;sans-serif" w:hAnsi="Times New Roman;sans-serif"/>
          <w:b w:val="false"/>
          <w:i/>
          <w:color w:val="000000"/>
          <w:sz w:val="20"/>
        </w:rPr>
        <w:t>Reporting Comprehensive Income—Expense Disaggregation Disclosures (Subtopic 220-40)</w:t>
      </w:r>
      <w:r>
        <w:rPr>
          <w:rFonts w:ascii="Times New Roman;sans-serif" w:hAnsi="Times New Roman;sans-serif"/>
          <w:b w:val="false"/>
          <w:color w:val="000000"/>
          <w:sz w:val="20"/>
        </w:rPr>
        <w:t>, which requires public entities to disclose disaggregated information about certain income statement line items in the notes to the financial statements. For public entities, ASU 2024-03 is required to be adopted for annual periods beginning after December 15, 2026 and for interim periods beginning after December 15, 2027, with early adoption permitted. This ASU will result in us including the additional required disclosures when adopted and does not otherwise have a material impact on the Company's consolidated financial statements.</w:t>
      </w:r>
      <w:r>
        <w:rPr>
          <w:color w:val="000000"/>
        </w:rPr>
        <w:t xml:space="preserv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3. FAIR VALUE MEASUREMENT</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assets and liabilities measured at fair value on a recurring basis using the following levels of inputs (in thousands): </w:t>
      </w:r>
    </w:p>
    <w:tbl>
      <w:tblPr>
        <w:tblW w:w="8275" w:type="dxa"/>
        <w:jc w:val="left"/>
        <w:tblInd w:w="0" w:type="dxa"/>
        <w:tblLayout w:type="fixed"/>
        <w:tblCellMar>
          <w:top w:w="28" w:type="dxa"/>
          <w:left w:w="28" w:type="dxa"/>
          <w:bottom w:w="28" w:type="dxa"/>
          <w:right w:w="28" w:type="dxa"/>
        </w:tblCellMar>
      </w:tblPr>
      <w:tblGrid>
        <w:gridCol w:w="1223"/>
        <w:gridCol w:w="1078"/>
        <w:gridCol w:w="1089"/>
        <w:gridCol w:w="211"/>
        <w:gridCol w:w="721"/>
        <w:gridCol w:w="109"/>
        <w:gridCol w:w="109"/>
        <w:gridCol w:w="109"/>
        <w:gridCol w:w="109"/>
        <w:gridCol w:w="211"/>
        <w:gridCol w:w="721"/>
        <w:gridCol w:w="109"/>
        <w:gridCol w:w="109"/>
        <w:gridCol w:w="109"/>
        <w:gridCol w:w="109"/>
        <w:gridCol w:w="213"/>
        <w:gridCol w:w="411"/>
        <w:gridCol w:w="112"/>
        <w:gridCol w:w="109"/>
        <w:gridCol w:w="109"/>
        <w:gridCol w:w="109"/>
        <w:gridCol w:w="211"/>
        <w:gridCol w:w="721"/>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 March 31, 2025</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debt securities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at fair value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color w:val="000000"/>
        </w:rPr>
      </w:pPr>
      <w:r>
        <w:rPr>
          <w:color w:val="000000"/>
        </w:rPr>
        <w:t> </w:t>
      </w:r>
    </w:p>
    <w:tbl>
      <w:tblPr>
        <w:tblW w:w="8275" w:type="dxa"/>
        <w:jc w:val="left"/>
        <w:tblInd w:w="0" w:type="dxa"/>
        <w:tblLayout w:type="fixed"/>
        <w:tblCellMar>
          <w:top w:w="28" w:type="dxa"/>
          <w:left w:w="28" w:type="dxa"/>
          <w:bottom w:w="28" w:type="dxa"/>
          <w:right w:w="28" w:type="dxa"/>
        </w:tblCellMar>
      </w:tblPr>
      <w:tblGrid>
        <w:gridCol w:w="1223"/>
        <w:gridCol w:w="1078"/>
        <w:gridCol w:w="1089"/>
        <w:gridCol w:w="211"/>
        <w:gridCol w:w="721"/>
        <w:gridCol w:w="109"/>
        <w:gridCol w:w="109"/>
        <w:gridCol w:w="109"/>
        <w:gridCol w:w="109"/>
        <w:gridCol w:w="211"/>
        <w:gridCol w:w="721"/>
        <w:gridCol w:w="109"/>
        <w:gridCol w:w="109"/>
        <w:gridCol w:w="109"/>
        <w:gridCol w:w="109"/>
        <w:gridCol w:w="213"/>
        <w:gridCol w:w="411"/>
        <w:gridCol w:w="112"/>
        <w:gridCol w:w="109"/>
        <w:gridCol w:w="109"/>
        <w:gridCol w:w="109"/>
        <w:gridCol w:w="211"/>
        <w:gridCol w:w="721"/>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8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 December 31, 2024</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debt securities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at fair value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Included in Other long-term assets, net in the consolidated balance sheets.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activity for our Level 3 investments (in thousands):</w:t>
      </w:r>
    </w:p>
    <w:tbl>
      <w:tblPr>
        <w:tblW w:w="5270" w:type="dxa"/>
        <w:jc w:val="center"/>
        <w:tblInd w:w="0" w:type="dxa"/>
        <w:tblLayout w:type="fixed"/>
        <w:tblCellMar>
          <w:top w:w="28" w:type="dxa"/>
          <w:left w:w="28" w:type="dxa"/>
          <w:bottom w:w="28" w:type="dxa"/>
          <w:right w:w="28" w:type="dxa"/>
        </w:tblCellMar>
      </w:tblPr>
      <w:tblGrid>
        <w:gridCol w:w="1516"/>
        <w:gridCol w:w="1332"/>
        <w:gridCol w:w="1336"/>
        <w:gridCol w:w="211"/>
        <w:gridCol w:w="721"/>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investments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purchases of Level 3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fair value of Level 3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on Level 3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investments at December 31, 2024</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acquisition of Level 3 investments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Transfers out of Level 3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fair value of Level 3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net on Level 3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investments at March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4. PROPERTY AND EQUIPMENT, NET</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 (in thousands):</w:t>
      </w:r>
    </w:p>
    <w:tbl>
      <w:tblPr>
        <w:tblW w:w="10205" w:type="dxa"/>
        <w:jc w:val="center"/>
        <w:tblInd w:w="0" w:type="dxa"/>
        <w:tblLayout w:type="fixed"/>
        <w:tblCellMar>
          <w:top w:w="28" w:type="dxa"/>
          <w:left w:w="28" w:type="dxa"/>
          <w:bottom w:w="28" w:type="dxa"/>
          <w:right w:w="28" w:type="dxa"/>
        </w:tblCellMar>
      </w:tblPr>
      <w:tblGrid>
        <w:gridCol w:w="2694"/>
        <w:gridCol w:w="2361"/>
        <w:gridCol w:w="2374"/>
        <w:gridCol w:w="211"/>
        <w:gridCol w:w="826"/>
        <w:gridCol w:w="109"/>
        <w:gridCol w:w="109"/>
        <w:gridCol w:w="109"/>
        <w:gridCol w:w="109"/>
        <w:gridCol w:w="230"/>
        <w:gridCol w:w="904"/>
        <w:gridCol w:w="169"/>
      </w:tblGrid>
      <w:tr>
        <w:trPr/>
        <w:tc>
          <w:tcPr>
            <w:tcW w:w="2694"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 and software, including internal-use software and website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202,005 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207,569 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(184,025)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costs associated with internal-use software and website development, both developed internally and acquired externally, and depreciation of costs for the same periods associated with internal-use software and website development consist of the following (in thousands):</w:t>
      </w:r>
    </w:p>
    <w:tbl>
      <w:tblPr>
        <w:tblW w:w="7899" w:type="dxa"/>
        <w:jc w:val="center"/>
        <w:tblInd w:w="0" w:type="dxa"/>
        <w:tblLayout w:type="fixed"/>
        <w:tblCellMar>
          <w:top w:w="28" w:type="dxa"/>
          <w:left w:w="28" w:type="dxa"/>
          <w:bottom w:w="28" w:type="dxa"/>
          <w:right w:w="28" w:type="dxa"/>
        </w:tblCellMar>
      </w:tblPr>
      <w:tblGrid>
        <w:gridCol w:w="1892"/>
        <w:gridCol w:w="1659"/>
        <w:gridCol w:w="1668"/>
        <w:gridCol w:w="211"/>
        <w:gridCol w:w="616"/>
        <w:gridCol w:w="109"/>
        <w:gridCol w:w="109"/>
        <w:gridCol w:w="109"/>
        <w:gridCol w:w="109"/>
        <w:gridCol w:w="211"/>
        <w:gridCol w:w="616"/>
        <w:gridCol w:w="109"/>
        <w:gridCol w:w="109"/>
        <w:gridCol w:w="109"/>
        <w:gridCol w:w="109"/>
        <w:gridCol w:w="154"/>
      </w:tblGrid>
      <w:tr>
        <w:trPr/>
        <w:tc>
          <w:tcPr>
            <w:tcW w:w="189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 and website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internal-use software and website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is classified within the corresponding operating expense categories on our consolidated statements of operations as follows (in thousands): </w:t>
      </w:r>
    </w:p>
    <w:tbl>
      <w:tblPr>
        <w:tblW w:w="4989" w:type="dxa"/>
        <w:jc w:val="center"/>
        <w:tblInd w:w="0" w:type="dxa"/>
        <w:tblLayout w:type="fixed"/>
        <w:tblCellMar>
          <w:top w:w="28" w:type="dxa"/>
          <w:left w:w="28" w:type="dxa"/>
          <w:bottom w:w="28" w:type="dxa"/>
          <w:right w:w="28" w:type="dxa"/>
        </w:tblCellMar>
      </w:tblPr>
      <w:tblGrid>
        <w:gridCol w:w="836"/>
        <w:gridCol w:w="734"/>
        <w:gridCol w:w="739"/>
        <w:gridCol w:w="211"/>
        <w:gridCol w:w="616"/>
        <w:gridCol w:w="109"/>
        <w:gridCol w:w="109"/>
        <w:gridCol w:w="109"/>
        <w:gridCol w:w="109"/>
        <w:gridCol w:w="211"/>
        <w:gridCol w:w="616"/>
        <w:gridCol w:w="109"/>
        <w:gridCol w:w="109"/>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INTANGIBLE ASSETS,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30, 2025, we entered into an Asset Purchase Agreement with BBBY Acquisition Co., LLC ("BBBY") to acquire certain intellectual property related to the buybuy BABY brand and closed the transaction on February 21, 2025. The Company acquired BBBY’s rights in the buybuy BABY brand, assets, information and content related to the associated buybuy BABY website, including trademarks, domain names, data, information, content, and select contractual rights, and goodwill associated with the brand for a total purchase price of $5.0 million which was paid at closing, and the assumption of certain contractual liabilities described therein. The aggregate purchase price, inclusive of contractual liabilities assumed and direct acquisition-related expenses, totaled $7.1 million which has been allocated to trade names, with an indefinite useful life.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17, 2025, we entered into an Intellectual Property Asset Purchase Agreement with Lyons Trading Company, the operator of Proozy.com, to sell our rights in the Zulily brand for a total sales price of $5.0 million while retaining a 25% ownership stake in the brand in the form of a newly created entity ("Zulily Newco"). In connection with this transaction, we received $1.25 million upfront, and will receive the remaining $3.75 million in quarterly installments over the course of five years, which is recorded as a long-term receivable and included in Other long-term assets, net in our consolidated balance sheets. We also recognized $1.12 million, which represents our 25% ownership stake in Zulily Newco, and is included in Equity securities in our consolidated balance sheets.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 of the following (in thousands):</w:t>
      </w:r>
    </w:p>
    <w:tbl>
      <w:tblPr>
        <w:tblW w:w="6977" w:type="dxa"/>
        <w:jc w:val="left"/>
        <w:tblInd w:w="0" w:type="dxa"/>
        <w:tblLayout w:type="fixed"/>
        <w:tblCellMar>
          <w:top w:w="28" w:type="dxa"/>
          <w:left w:w="28" w:type="dxa"/>
          <w:bottom w:w="28" w:type="dxa"/>
          <w:right w:w="28" w:type="dxa"/>
        </w:tblCellMar>
      </w:tblPr>
      <w:tblGrid>
        <w:gridCol w:w="1559"/>
        <w:gridCol w:w="1369"/>
        <w:gridCol w:w="1376"/>
        <w:gridCol w:w="211"/>
        <w:gridCol w:w="721"/>
        <w:gridCol w:w="109"/>
        <w:gridCol w:w="109"/>
        <w:gridCol w:w="109"/>
        <w:gridCol w:w="109"/>
        <w:gridCol w:w="253"/>
        <w:gridCol w:w="867"/>
        <w:gridCol w:w="185"/>
      </w:tblGrid>
      <w:tr>
        <w:trPr/>
        <w:tc>
          <w:tcPr>
            <w:tcW w:w="155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gross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not subject to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At March 31, 2025, the weighted average remaining useful life for intangible assets subject to amortization, gross was 3.0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consist of the following (in thousands):</w:t>
      </w:r>
    </w:p>
    <w:tbl>
      <w:tblPr>
        <w:tblW w:w="9557" w:type="dxa"/>
        <w:jc w:val="left"/>
        <w:tblInd w:w="0" w:type="dxa"/>
        <w:tblLayout w:type="fixed"/>
        <w:tblCellMar>
          <w:top w:w="28" w:type="dxa"/>
          <w:left w:w="28" w:type="dxa"/>
          <w:bottom w:w="28" w:type="dxa"/>
          <w:right w:w="28" w:type="dxa"/>
        </w:tblCellMar>
      </w:tblPr>
      <w:tblGrid>
        <w:gridCol w:w="2493"/>
        <w:gridCol w:w="2192"/>
        <w:gridCol w:w="2199"/>
        <w:gridCol w:w="211"/>
        <w:gridCol w:w="721"/>
        <w:gridCol w:w="109"/>
        <w:gridCol w:w="109"/>
        <w:gridCol w:w="109"/>
        <w:gridCol w:w="109"/>
        <w:gridCol w:w="253"/>
        <w:gridCol w:w="867"/>
        <w:gridCol w:w="185"/>
      </w:tblGrid>
      <w:tr>
        <w:trPr/>
        <w:tc>
          <w:tcPr>
            <w:tcW w:w="2493"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accounted for under the equity method under ASC 323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accounted for under the equity method under the fair value option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78,186 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equity securities accounted for under the equity method under ASC 323 include equity securities in which we can exercise significant influence, but not control, over these entities through holding more than a 20% voting interest in the entity. During the period ended March 31, 2025, after stockholder approval was obtained from Kirkland's, Inc. ("Kirkland's") stockholders, we funded our additional $8.0 million investment in Kirkland's in exchange for Kirkland's common stock and converted our $8.5 million convertible promissory note (plus accrued interest) into shares of Kirkland's common stock. After all transactions, we own approximately 40% of Kirkland's outstanding shares of common stock. In addition, as part of the sale of our rights in the Zulily brand, we retained a 25% ownership stake in the brand in the form of a newly created entity, Zulily Newco. See Note 5—Intangible Assets, net,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includes our equity securities accounted for under the equity method and related ownership interest as of March 31, 2025:</w:t>
      </w:r>
    </w:p>
    <w:tbl>
      <w:tblPr>
        <w:tblW w:w="2941" w:type="dxa"/>
        <w:jc w:val="center"/>
        <w:tblInd w:w="0" w:type="dxa"/>
        <w:tblLayout w:type="fixed"/>
        <w:tblCellMar>
          <w:top w:w="28" w:type="dxa"/>
          <w:left w:w="28" w:type="dxa"/>
          <w:bottom w:w="28" w:type="dxa"/>
          <w:right w:w="28" w:type="dxa"/>
        </w:tblCellMar>
      </w:tblPr>
      <w:tblGrid>
        <w:gridCol w:w="679"/>
        <w:gridCol w:w="597"/>
        <w:gridCol w:w="599"/>
        <w:gridCol w:w="312"/>
        <w:gridCol w:w="312"/>
        <w:gridCol w:w="442"/>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Ownership</w:t>
              <w:br/>
              <w:t>interest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Medici Ventures, L.P.</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tZERO Group, Inc.</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SpeedRoute, LLC</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Kirkland's, Inc.</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Zulily Newco</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 of our equity method securities was $77.7 million at March 31, 2025, which is included in Equity securities on our consolidated balance sheets, of which $25.4 million was valued under the fair value option (tZERO, SpeedRoute, Kirkland's, and Zulily Newco). Our equity securities in Kirkland's are carried at fair value based on Level 1 inputs. The aggregate fair value of our equity securities in Kirkland's at March 31, 2025 was $11.4 million. For our equity method investments, there was no difference in the carrying amount of the assets and liabilities and our maximum exposure to loss, and there was no difference between the carrying amount of our investment in Medici Ventures, L.P., and the amount of underlying equity we have in the entity's net assets.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loss recognized on equity method securities recorded in Other expense, net in our consolidated statements of operations (in thousands):</w:t>
      </w:r>
    </w:p>
    <w:tbl>
      <w:tblPr>
        <w:tblW w:w="10205" w:type="dxa"/>
        <w:jc w:val="center"/>
        <w:tblInd w:w="0" w:type="dxa"/>
        <w:tblLayout w:type="fixed"/>
        <w:tblCellMar>
          <w:top w:w="28" w:type="dxa"/>
          <w:left w:w="28" w:type="dxa"/>
          <w:bottom w:w="28" w:type="dxa"/>
          <w:right w:w="28" w:type="dxa"/>
        </w:tblCellMar>
      </w:tblPr>
      <w:tblGrid>
        <w:gridCol w:w="2674"/>
        <w:gridCol w:w="2351"/>
        <w:gridCol w:w="2356"/>
        <w:gridCol w:w="211"/>
        <w:gridCol w:w="687"/>
        <w:gridCol w:w="109"/>
        <w:gridCol w:w="109"/>
        <w:gridCol w:w="109"/>
        <w:gridCol w:w="109"/>
        <w:gridCol w:w="211"/>
        <w:gridCol w:w="687"/>
        <w:gridCol w:w="109"/>
        <w:gridCol w:w="109"/>
        <w:gridCol w:w="109"/>
        <w:gridCol w:w="109"/>
        <w:gridCol w:w="156"/>
      </w:tblGrid>
      <w:tr>
        <w:trPr/>
        <w:tc>
          <w:tcPr>
            <w:tcW w:w="2674"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recognized on our proportionate share of the net assets of our equity method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fair value of equity method securities held under fair value option</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Regulation S-X Rule 10-01(b)(1)</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Rule 10-01(b)(1) of Regulation S-X, which applies to interim reports on Form 10-Q, the Company must determine if its equity method investees are considered "significant subsidiaries". Summarized income statement information of an equity method investee is required in an interim report if the significance criteria are met as defined under SEC guidance. For the periods ended March 31, 2025 and 2024, none of our equity method investees met the significance criteria. </w:t>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7. BORROWINGS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2024, the Company entered into a Loan and Security Agreement (the "Loan Agreement") with BMO Bank N.A. (in such capacity, "BMO"), pursuant to which BMO agrees to lend the Company up to $25.0 million on a one-year revolving line of credit to aid the Company in securing strategic ventures. In connection with the Loan Agreement, BMO issued a revolving line of credit promissory note (the "Revolving Note") and granted a lien on the cash collateral account specified in the Loan Agreement (the "Cash Collateral Account"). The revolving line of credit bears interest on the unpaid principal balance at an annual rate equal to the Secured Overnight Financing Rate, or SOFR rate, for a one-month interest period plus 1.00%, established by the Federal Reserve Bank of New York. The Company is obligated to pay certain commitment fees on undrawn amounts under the Loan Agreement in amounts specified in the Loan Agreement. The Loan Agreement and Revolving Note will terminate on October 18, 2025 and loans thereunder may be borrowed, repaid, and reborrowed up to such date.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outstanding balance on the line of credit was $25.0 million, net of $102,000 of capitalized debt issuance costs. Our total outstanding debt on the line of credit is included in Short-term debt, net on our consolidated balance sheets.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Loan Agreement is subject to limited affirmative covenants and negative covenants, including the requirement that the Company maintain cash in the Cash Collateral Account in an amount that is three percent greater than BMO's aggregate commitments under the Loan Agreement. We are in compliance with our debt covenants and continue to monitor our ongoing compliance with our debt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8. LEASES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operating leases for a warehouse, office space, and data center. Our leases have remaining lease terms of one year to eight years, some of which may include options to extend the leases perpetually, and some of which may include options to terminate the leases within one year. Variable lease costs include executory costs, such as taxes, insurance, and maintenance.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expenses were as follows (in thousands):</w:t>
      </w:r>
    </w:p>
    <w:tbl>
      <w:tblPr>
        <w:tblW w:w="4135" w:type="dxa"/>
        <w:jc w:val="center"/>
        <w:tblInd w:w="0" w:type="dxa"/>
        <w:tblLayout w:type="fixed"/>
        <w:tblCellMar>
          <w:top w:w="28" w:type="dxa"/>
          <w:left w:w="28" w:type="dxa"/>
          <w:bottom w:w="28" w:type="dxa"/>
          <w:right w:w="28" w:type="dxa"/>
        </w:tblCellMar>
      </w:tblPr>
      <w:tblGrid>
        <w:gridCol w:w="635"/>
        <w:gridCol w:w="558"/>
        <w:gridCol w:w="562"/>
        <w:gridCol w:w="211"/>
        <w:gridCol w:w="466"/>
        <w:gridCol w:w="109"/>
        <w:gridCol w:w="109"/>
        <w:gridCol w:w="109"/>
        <w:gridCol w:w="109"/>
        <w:gridCol w:w="211"/>
        <w:gridCol w:w="466"/>
        <w:gridCol w:w="109"/>
        <w:gridCol w:w="109"/>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other information related to leases (in thousands):</w:t>
      </w:r>
    </w:p>
    <w:tbl>
      <w:tblPr>
        <w:tblW w:w="8047" w:type="dxa"/>
        <w:jc w:val="center"/>
        <w:tblInd w:w="0" w:type="dxa"/>
        <w:tblLayout w:type="fixed"/>
        <w:tblCellMar>
          <w:top w:w="28" w:type="dxa"/>
          <w:left w:w="28" w:type="dxa"/>
          <w:bottom w:w="28" w:type="dxa"/>
          <w:right w:w="28" w:type="dxa"/>
        </w:tblCellMar>
      </w:tblPr>
      <w:tblGrid>
        <w:gridCol w:w="2184"/>
        <w:gridCol w:w="1918"/>
        <w:gridCol w:w="1928"/>
        <w:gridCol w:w="319"/>
        <w:gridCol w:w="210"/>
        <w:gridCol w:w="211"/>
        <w:gridCol w:w="164"/>
        <w:gridCol w:w="164"/>
        <w:gridCol w:w="164"/>
        <w:gridCol w:w="319"/>
        <w:gridCol w:w="193"/>
        <w:gridCol w:w="273"/>
      </w:tblGrid>
      <w:tr>
        <w:trPr/>
        <w:tc>
          <w:tcPr>
            <w:tcW w:w="2184"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included in operating cash flows from lease arrangements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w:t>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supplemental balance sheet information related to leases:</w:t>
      </w:r>
    </w:p>
    <w:tbl>
      <w:tblPr>
        <w:tblW w:w="7436" w:type="dxa"/>
        <w:jc w:val="center"/>
        <w:tblInd w:w="0" w:type="dxa"/>
        <w:tblLayout w:type="fixed"/>
        <w:tblCellMar>
          <w:top w:w="28" w:type="dxa"/>
          <w:left w:w="28" w:type="dxa"/>
          <w:bottom w:w="28" w:type="dxa"/>
          <w:right w:w="28" w:type="dxa"/>
        </w:tblCellMar>
      </w:tblPr>
      <w:tblGrid>
        <w:gridCol w:w="1750"/>
        <w:gridCol w:w="1537"/>
        <w:gridCol w:w="1543"/>
        <w:gridCol w:w="216"/>
        <w:gridCol w:w="216"/>
        <w:gridCol w:w="542"/>
        <w:gridCol w:w="109"/>
        <w:gridCol w:w="109"/>
        <w:gridCol w:w="109"/>
        <w:gridCol w:w="266"/>
        <w:gridCol w:w="266"/>
        <w:gridCol w:w="773"/>
      </w:tblGrid>
      <w:tr>
        <w:trPr/>
        <w:tc>
          <w:tcPr>
            <w:tcW w:w="175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term—operating leases</w:t>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years</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rate—operating leases</w:t>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Maturity of lease liabilities under our non-cancellable operating leases as of March 31, 2025, are as follows (in thousands):</w:t>
      </w:r>
    </w:p>
    <w:tbl>
      <w:tblPr>
        <w:tblW w:w="3992" w:type="dxa"/>
        <w:jc w:val="center"/>
        <w:tblInd w:w="0" w:type="dxa"/>
        <w:tblLayout w:type="fixed"/>
        <w:tblCellMar>
          <w:top w:w="28" w:type="dxa"/>
          <w:left w:w="28" w:type="dxa"/>
          <w:bottom w:w="28" w:type="dxa"/>
          <w:right w:w="28" w:type="dxa"/>
        </w:tblCellMar>
      </w:tblPr>
      <w:tblGrid>
        <w:gridCol w:w="973"/>
        <w:gridCol w:w="854"/>
        <w:gridCol w:w="857"/>
        <w:gridCol w:w="109"/>
        <w:gridCol w:w="109"/>
        <w:gridCol w:w="109"/>
        <w:gridCol w:w="211"/>
        <w:gridCol w:w="616"/>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Payments due by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9. COMMITMENTS AND CONTINGENCIES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 and 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are involved in litigation concerning consumer protection, employment, intellectual property, claims under the securities laws, and other commercial matters related to the conduct and operation of our business and the sale of products on our websites. In connection with such litigation, we have been in the past and we may be in the future subject to judgments requiring us to pay significant damages or associated costs. In some instances, other parties may have contractual indemnification obligations to us. However, such contractual obligations may prove unenforceable or non-collectible, and if we cannot enforce or collect on indemnification obligations, we may bear the full responsibility for damages, fees, and costs resulting from such litigation. As a result of such litigation, we may also be subject to penalties and equitable remedies that could force us to alter important business practices.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establish liabilities when a particular contingency is probable and estimable which are included in Accrued liabilities on our consolidated balance sheets. At March 31, 2025 and December 31, 2024, our established liabilities were not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10. INDEMNIFICATIONS AND GUARANTEES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our normal course of business, we have made certain indemnities, commitments, and guarantees under which we may be required to make payments in relation to certain transactions. These indemnities include, but are not limited to, indemnities to various lessors in connection with facility leases for certain claims arising from such facility or lease, the environmental indemnity we entered into in favor of the lenders under our prior loan agreements, customary indemnification arrangements in underwriting agreements and similar agreements, and indemnities to our directors and officers to the maximum extent permitted under the laws of the State of Delaware. The duration of these indemnities, commitments, and guarantees varies, and in certain cases, is indefinite. In addition, the majority of these indemnities, commitments, and guarantees do not provide for any limitation of the maximum potential future payments we could be obligated to make. As such, we are unable to estimate with any reasonableness our potential exposure under these items. We have not recorded any liability for these indemnities, commitments, and guarantees in the accompanying consolidated balance sheets. We do, however, accrue losses for any known contingent liability, including those that may arise from indemnification provisions, when future payment is both probable and reasonably estimable.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11. STOCKHOLDERS' EQUITY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share of common stock has the right to one vote. The holders of common stock are also entitled to receive dividends declared by the Board of Directors out of funds legally available, subject to prior rights of holders of all classes of stock outstanding having priority rights as to dividends.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JonesTrading Sales Agreement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We entered into a Capital on Demand</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Sales Agreement (the "Sales Agreement") dated June 10, 2024 with JonesTrading Institutional Services LLC ("JonesTrading"), under which we have conducted and may in the future conduct "at the market" public offerings of our common stock. Under the Sales Agreement, JonesTrading, acting as our sales agent or principal, may offer our common stock in the market on a daily basis or otherwise as we request from time to time. We have no obligation to sell shares under the Sales Agreement, but we may do so from time to time. For the three months ended March 31, 2025, we sold 3,486,895 shares of our common stock pursuant to the Sales Agreement and have recognized $19.5 million in proceeds, net of $398,000 of offering costs, including commissions paid to JonesTrading. As of March 31, 2025, we had $136.3 million remaining available under our "at the market" sales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and 2024, we did not repurchase any shares of our common stock under our stock repurchase program. As of March 31, 2025, we had $69.9 million available for future share repurchases under our current repurchase authorization through December 31, 2025.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STOCK-BASED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equity incentive and compensatory plans that provide for the grant of stock-based awards, including restricted stock and performance shares to employees and board members and provide employees the ability to purchase shares of our common stock through an employee stock purchase plan. Employee accounting applies to equity incentives and compensation granted by the Company to its own employees. When an award is forfeited prior to the vesting date, we recognize an adjustment for the previously recognized expense in the period of the forfeiture.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classified within the corresponding operating expense categories on our consolidated statements of operations as follows (in thousands):</w:t>
      </w:r>
    </w:p>
    <w:tbl>
      <w:tblPr>
        <w:tblW w:w="5424" w:type="dxa"/>
        <w:jc w:val="center"/>
        <w:tblInd w:w="0" w:type="dxa"/>
        <w:tblLayout w:type="fixed"/>
        <w:tblCellMar>
          <w:top w:w="28" w:type="dxa"/>
          <w:left w:w="28" w:type="dxa"/>
          <w:bottom w:w="28" w:type="dxa"/>
          <w:right w:w="28" w:type="dxa"/>
        </w:tblCellMar>
      </w:tblPr>
      <w:tblGrid>
        <w:gridCol w:w="993"/>
        <w:gridCol w:w="873"/>
        <w:gridCol w:w="878"/>
        <w:gridCol w:w="211"/>
        <w:gridCol w:w="616"/>
        <w:gridCol w:w="109"/>
        <w:gridCol w:w="109"/>
        <w:gridCol w:w="109"/>
        <w:gridCol w:w="109"/>
        <w:gridCol w:w="211"/>
        <w:gridCol w:w="616"/>
        <w:gridCol w:w="109"/>
        <w:gridCol w:w="109"/>
        <w:gridCol w:w="109"/>
        <w:gridCol w:w="109"/>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Beyond restricted stock unit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Beyond, Inc. Amended and Restated 2005 Equity Incentive Plan provides for the grant of restricted stock units and other types of equity awards to employees and directors of the Company. The Compensation Committee of the Board of Directors approves grants of restricted stock unit awards to our officers, board members and employees. These restricted stock unit awards generally vest over three years at 33.3% at the end of the first year, 33.3% at the end of the second year and 33.4% at the end of the third year, subject to the recipient's continuing service to us. In addition to our traditional equity awards, in fiscal 2024, we changed our vesting schedule for restricted stock units from three years to four years for all restricted stock units granted to employees below Vice President level. These restricted stock unit awards will vest at 25% each year. In the first quarter of fiscal 2025, we adjusted back to the prior vesting schedule of a three-year vesting schedule.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cost of restricted stock units is determined using the fair value of our common stock on the date of the grant and compensation expense is either recognized on a straight-line basis over the vesting schedule or on an accelerated schedule when vesting of restricted stock awards exceeds a straight-line basis. The cumulative amount of compensation expense recognized at any point in time is at least equal to the portion of the grant date fair value of the award that is vested at that date.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Shares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we granted 472,240 performance-based shares ("PSUs") to our executive management team under the 2025 performance share award agreement. Each grant of PSUs is eligible to vest based on achieving three performance metrics, with 50% of the target number of PSUs multiplied by the Adjusted EBITDA Performance Multiplier, 25% of the target number of PSUs multiplied by the Gross Margin Performance Multiplier, and 25% of the target number of PSUs multiplied by the Contribution Margin Performance Multiplier, with the potential weighted average maximum payout of 135% of the "Target" number of PSUs. To the extent any of the PSUs become earned based on our achievement of the three aforementioned performance metrics, such earned PSUs will vest as to one-third of the earned PSUs on each of the first, second, and third anniversaries of the grant date, subject to the recipient’s continued service through the vesting date. To be eligible to vest in any tranche of the PSUs, we must meet the threshold performance metrics established for the performance period. We recognize expense as compensation cost based on the fair value on the date of grant over the performance period, taking into account the probability that we will satisfy the performance goals.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related to the PSUs is included in the stock-based compensation expense table above combined with the expense associated with our restricted stock units, performance share options, and ESPP. Stock-based compensation related to the PSUs was a credit of $2.1 million due to staff related reductions for the three months ended March 31,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Share Options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related to the Performance Share Option is included in stock-based compensation expense table above combined with the expense associated with our restricted stock units, PSUs, and ESPP. Stock-based compensation related to the performance share options was $1.0 million for the three months ended March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unit, PSU, and Performance Share Option award activity (in thousands, except per share data):</w:t>
      </w:r>
    </w:p>
    <w:tbl>
      <w:tblPr>
        <w:tblW w:w="5045" w:type="dxa"/>
        <w:jc w:val="left"/>
        <w:tblInd w:w="0" w:type="dxa"/>
        <w:tblLayout w:type="fixed"/>
        <w:tblCellMar>
          <w:top w:w="28" w:type="dxa"/>
          <w:left w:w="28" w:type="dxa"/>
          <w:bottom w:w="28" w:type="dxa"/>
          <w:right w:w="28" w:type="dxa"/>
        </w:tblCellMar>
      </w:tblPr>
      <w:tblGrid>
        <w:gridCol w:w="999"/>
        <w:gridCol w:w="879"/>
        <w:gridCol w:w="882"/>
        <w:gridCol w:w="308"/>
        <w:gridCol w:w="308"/>
        <w:gridCol w:w="181"/>
        <w:gridCol w:w="124"/>
        <w:gridCol w:w="124"/>
        <w:gridCol w:w="124"/>
        <w:gridCol w:w="240"/>
        <w:gridCol w:w="701"/>
        <w:gridCol w:w="175"/>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2025</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Outstanding—beginning of year</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 at fair value</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Outstanding—end of period</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Purchases under the 2021 Employee Stock Purchase Plan (the "ESPP") during the three months ended March 31, 2025 and 2024 were 90,921 shares and 56,575 shares, respectively, at an average purchase price per share of $5.43 and $16.53, respectively. At March 31, 2025, approximately 2.6 million shares of common stock remained available under the ESPP.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related to the ESPP is included in the stock-based compensation expense table above combined with the expense associated with our restricted stock units, PSUs, and performance share options. Stock-based compensation related to the ESPP was $162,000 and $346,000 for the three months ended March 31, 2025 and 2024,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13. REVENUE AND CONTRACT LIABILITY</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Unearned Revenue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unearned revenue from contracts with customers, including significant changes in unearned revenue balances during the periods presented (in thousands):</w:t>
      </w:r>
    </w:p>
    <w:tbl>
      <w:tblPr>
        <w:tblW w:w="6741" w:type="dxa"/>
        <w:jc w:val="center"/>
        <w:tblInd w:w="0" w:type="dxa"/>
        <w:tblLayout w:type="fixed"/>
        <w:tblCellMar>
          <w:top w:w="28" w:type="dxa"/>
          <w:left w:w="28" w:type="dxa"/>
          <w:bottom w:w="28" w:type="dxa"/>
          <w:right w:w="28" w:type="dxa"/>
        </w:tblCellMar>
      </w:tblPr>
      <w:tblGrid>
        <w:gridCol w:w="2046"/>
        <w:gridCol w:w="1798"/>
        <w:gridCol w:w="1811"/>
        <w:gridCol w:w="211"/>
        <w:gridCol w:w="721"/>
        <w:gridCol w:w="154"/>
      </w:tblGrid>
      <w:tr>
        <w:trPr/>
        <w:tc>
          <w:tcPr>
            <w:tcW w:w="2046"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deferral of revenue at period end,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due to beginning contract liabilities recognized as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at December 31, 2024</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due to deferral of revenue at period end,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due to beginning contract liabilities recognized as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at March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total unearned revenue related to outstanding loyalty program rewards was $6.6 million and $11.1 million at March 31, 2025 and December 31, 2024, respectively. Breakage income related to loyalty program rewards and gift cards is recognized in Net revenue in our consolidated statements of operations. Breakage included in revenue was $6.6 million and $1.3 million for the three months ended March 31, 2025 and 2024, respectively. The timing of revenue recognition of these reward dollars is driven by actual customer activities, such as redemptions and expirations. At March 31, 2025 and December 31, 2024, we had an additional $4.3 million and $4.6 million, respectively, of unearned contract revenue classified within Other long-term liabilities on our consolidated balance sheets.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returns allowance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additions to and deductions from the sales returns allowance, which is included in our Accrued liabilities balance in our consolidated balance sheets (in thousands):</w:t>
      </w:r>
    </w:p>
    <w:tbl>
      <w:tblPr>
        <w:tblW w:w="4728" w:type="dxa"/>
        <w:jc w:val="center"/>
        <w:tblInd w:w="0" w:type="dxa"/>
        <w:tblLayout w:type="fixed"/>
        <w:tblCellMar>
          <w:top w:w="28" w:type="dxa"/>
          <w:left w:w="28" w:type="dxa"/>
          <w:bottom w:w="28" w:type="dxa"/>
          <w:right w:w="28" w:type="dxa"/>
        </w:tblCellMar>
      </w:tblPr>
      <w:tblGrid>
        <w:gridCol w:w="1331"/>
        <w:gridCol w:w="1168"/>
        <w:gridCol w:w="1175"/>
        <w:gridCol w:w="229"/>
        <w:gridCol w:w="671"/>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returns at December 31, 2023</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the allowance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from the allowance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returns at December 31, 2024</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the allowance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from the allowance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returns at March 31, 2025</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14. NET LOSS PER SHARE</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common share for the periods indicated (in thousands, except per share data):</w:t>
      </w:r>
    </w:p>
    <w:tbl>
      <w:tblPr>
        <w:tblW w:w="8410" w:type="dxa"/>
        <w:jc w:val="center"/>
        <w:tblInd w:w="0" w:type="dxa"/>
        <w:tblLayout w:type="fixed"/>
        <w:tblCellMar>
          <w:top w:w="28" w:type="dxa"/>
          <w:left w:w="28" w:type="dxa"/>
          <w:bottom w:w="28" w:type="dxa"/>
          <w:right w:w="28" w:type="dxa"/>
        </w:tblCellMar>
      </w:tblPr>
      <w:tblGrid>
        <w:gridCol w:w="1942"/>
        <w:gridCol w:w="1705"/>
        <w:gridCol w:w="1723"/>
        <w:gridCol w:w="211"/>
        <w:gridCol w:w="796"/>
        <w:gridCol w:w="109"/>
        <w:gridCol w:w="109"/>
        <w:gridCol w:w="109"/>
        <w:gridCol w:w="109"/>
        <w:gridCol w:w="211"/>
        <w:gridCol w:w="796"/>
        <w:gridCol w:w="109"/>
        <w:gridCol w:w="109"/>
        <w:gridCol w:w="109"/>
        <w:gridCol w:w="109"/>
        <w:gridCol w:w="154"/>
      </w:tblGrid>
      <w:tr>
        <w:trPr/>
        <w:tc>
          <w:tcPr>
            <w:tcW w:w="1942"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outstanding—basic</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outstanding—diluted</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 of common stock:</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shares were excluded from the calculation of diluted shares outstanding as their effect would have been anti-dilutive (in thousands):</w:t>
      </w:r>
    </w:p>
    <w:tbl>
      <w:tblPr>
        <w:tblW w:w="7653" w:type="dxa"/>
        <w:jc w:val="center"/>
        <w:tblInd w:w="0" w:type="dxa"/>
        <w:tblLayout w:type="fixed"/>
        <w:tblCellMar>
          <w:top w:w="28" w:type="dxa"/>
          <w:left w:w="28" w:type="dxa"/>
          <w:bottom w:w="28" w:type="dxa"/>
          <w:right w:w="28" w:type="dxa"/>
        </w:tblCellMar>
      </w:tblPr>
      <w:tblGrid>
        <w:gridCol w:w="1788"/>
        <w:gridCol w:w="1569"/>
        <w:gridCol w:w="1578"/>
        <w:gridCol w:w="308"/>
        <w:gridCol w:w="308"/>
        <w:gridCol w:w="201"/>
        <w:gridCol w:w="201"/>
        <w:gridCol w:w="201"/>
        <w:gridCol w:w="201"/>
        <w:gridCol w:w="308"/>
        <w:gridCol w:w="308"/>
        <w:gridCol w:w="201"/>
        <w:gridCol w:w="109"/>
        <w:gridCol w:w="109"/>
        <w:gridCol w:w="109"/>
        <w:gridCol w:w="154"/>
      </w:tblGrid>
      <w:tr>
        <w:trPr/>
        <w:tc>
          <w:tcPr>
            <w:tcW w:w="178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PSUs, and Performance Share Option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BUSINESS SEGMENTS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Operations: We currently have one reportable segment, which is our Retail business. The reportable segment is comprised of our Overstock.com operating segment and our Bed, Bath &amp; Beyond operating segment, which are aggregated into a single reportable Retail segment due to their similar economic characteristics and business activities. The Bed Bath &amp; Beyond operating segment includes results from our buybuy BABY brand, which are not material to the business and are not separately reviewed by the Chief Operating Decision Maker. The reporting segment primarily derives revenues from e-commerce sales of home furnishing merchandise through our suite of websites and mobile apps.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policies of the Retail segment are the same as those described in the summary of significant accounting policies. The Chief Operating Decision Maker (CODM), who is our Principal Executive Officer, makes resource allocation decisions based on reports that focus predominantly on Net Revenues, Gross Profit, Sales and Marketing as a percentage of Gross Profit, Technology, and General &amp; Administrative expenses as a percentage of Gross Profit, as well as Operating Income (Loss) measured under GAAP, as reported on our Consolidated Statement of Operations. The CODM also receives our Consolidated Cash and Cash Equivalents balance as a measure of liquidity as reported on our Consolidated Balance Sheet. The CODM uses Operating Income (Loss) to evaluate income generated from segment resources in deciding whether to reinvest profits into the retail segment or into other parts of the entity, such as to make acquisitions or investments. The CODM also uses Operating Income (Loss) to monitor budget versus actual results. The monitoring of budgeted versus actual results is used in assessing performance of the segment and in establishing bonus metrics.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Sales &amp; Marketing, Technology, General &amp; Administrative, and Customer Service and Merchant Fees, as reported on our Consolidated Statement of Operations, are significant expenses evaluated by our CODM. The measure of segments assets is reported on the Consolidated Balance Sheet as Cash and Cash Equivalents.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16. SUBSEQUENT EVENTS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Letter of Credit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3, 2025, the Company entered into a standby letter of credit agreement with BMO Bank N.A. in an initial amount of $5.0 million, expiring on April 3, 2026. The letter of credit was issued in favor of one of the Company's payment processors as a financial guarantee in connection with ongoing payment processing operations. In accordance with the terms of the agreement with the Company's payment processor, the letter of credit is expected to be increased by $3.0 million, 30 days following the initial issuance, and further increased by an additional $3.0 million, 60 days following the initial issuance. Upon completion of these scheduled increases, the total letter of credit is expected to be valued at $11.0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provides information that we believe to be relevant to an understanding of our unaudited consolidated financial condition and results of operations. The statements in this section regarding industry outlook, our expectations regarding the performance of our business and any other non-historical statements are forward-looking statements. Our actual results and outcomes may differ materially from those contained in or implied by any forward-looking statements contained herein. These forward-looking statements are subject to numerous risks, uncertainties, and other important factors, including, but not limited to, those described in "Special Cautionary Note Regarding Forward Looking Statements" and in Part II, Item 1A, "Risk Factors" included in this Quarterly Report on Form 10-Q. You should read the following discussion together with our unaudited consolidated financial statements and related notes included in this Quarterly Report on Form 10-Q and with the sections entitled "Special Cautionary Note Regarding Forward-Looking Statements," Part I, Item 1A, "Risk Factors," and our consolidated financial statements and related notes included in our Annual Report on Form 10-K for the year ended December 31, 2024, filed with the SEC on February 25,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e-commerce affinity marketing company that owns or has ownership interests in various retail brands with the aim of offering a comprehensive array of products and services that enable its customers the ability to unlock their homes' potential while supporting their families and all of life's milestones. In addition, we also offer an increasing number of add-on services across our platforms, including warranties, shipping insurance, installation services, and access to home loans. We will also be expanding our global loyalty program, Beyond +, to encompass all affiliated entities across our cooperative in order to incentivize customer retention within our growing ecosystem. We currently own Overstock, Bed Bath &amp; Beyond, and buybuy BABY. As used herein, "Beyond," "the Company," "we," "our" and similar terms include Beyond, Inc. and its controlled subsidiaries, unless the context indicates otherwise.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Through our Bed Bath &amp; Beyond brand, we aim to provide an extensive array of home-related products tailored specifically for our target customers - consumers who seek comprehensive support throughout their shopping journey, aspiring to discover quality, stylish products at competitive prices that align with their budget requirements. We regularly refresh our product assortment to reflect the evolving preferences of our customers and aim to stay aligned with current trends. The mission of this brand is to achieve category-leading ownership of four distinct rooms of the home: the bedroom, the bathroom, the kitchen, and the patio, and our goal is for our assortment to include not only core legacy categories like bedding and kitchenware, but also adjacent categories like bedroom and outdoor furniture and rugs. Furniture across all rooms continues to play a critical role in our strategy, as we expand our presence in both essential and style-driven home furnishing categories. Leveraging an asset-light supply chain, we offer direct shipping to customers from both our suppliers and our leased warehouse.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Bed Bath &amp; Beyond's strategic priorities include assortment curation to elevate product quality levels and improve ease of selection, as well as the addition of aspirational brands to elevate the curated shopping experience. Our goal is to elevate our website and customer engagement by fostering emotional connections, building trust, and delivering compelling, value-driven experiences.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Through our Overstock brand, we aim to provide a wide array of quality goods at discounted prices, and a treasure hunt-like experience for our target customers - consumers who are highly engaged, very accustomed to purchasing online, and actively seeking great deals. The mission of this brand is to delight our customers by offering them deals on products they will love. Our product assortment includes home categories such as indoor and outdoor furniture, rugs, décor, and lighting, as well as lifestyle categories such as jewelry and watches, apparel and accessories, sports and outdoor, and beauty and wellness.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recent buybuy BABY acquisition allows us to reunite two traditionally related brands, Bed Bath &amp; Beyond and buybuy BABY, and support our customers through key life stage shopping moments.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Executive Commentary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executive commentary is intended to provide investors with a view of our business through the eyes of our management. As an executive commentary, it necessarily focuses on selected aspects of our business. This executive commentary is intended as a supplement to, but not a substitute for, the more detailed discussion of our business included elsewhere herein. Investors are cautioned to read our entire "Management's Discussion and Analysis of Financial Condition and Results of Operations," our interim and audited financial statements, and the discussion of our business and risk factors and other information included elsewhere or incorporated in this report. This executive commentary includes forward-looking statements, and investors are cautioned to read "Special 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decreased 39.4% for the three months ended March 31, 2025, compared to the same period in 2024. This decrease was primarily due to a 46% decrease in orders delivered. The decrease was partially offset by a 12% increase in average order value. The decrease in orders delivered was driven by a decline in website visits influenced in part by a shift in consumer spending preferences and macroeconomic factors impacting consumer sentiment and the home furnishings industry as well as a reduction in overall sales and marketing spend as we focus on reducing spend by improving more efficient traffic channels. The increase in average order value was largely driven by the seasonality of orders mixing into categories with higher average unit retail price.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decreased 21.8% for the three months ended March 31, 2025, compared to the same period in 2024, primarily due to a decrease in revenue. Gross margin increased to 25.1% for the three months ended March 31, 2025, compared to 19.5% for the same period in 2024, primarily driven by merchandising actions and a reduction in carrier costs.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as a percent of revenue decreased from 17.8% for the three months ended March 31, 2024 to 13.5% for the three months ended March 31, 2025, primarily due to decreased performance marketing expense and brand advertising.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Technology expenses totaled $26.7 million for the three months ended March 31, 2025, a $2.9 million decrease compared to the three months ended March 31, 2024, primarily due to a reduction in staff-related expenses.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$6.1 million for the three months ended March 31, 2025 compared to the three months ended March 31, 2024, primarily due to a reduction in staff-related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Customer service and merchant fees decreased $4.6 million for the three months ended March 31, 2025 compared to the three months ended March 31, 2024, primarily due to decreased order volume.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cash and cash equivalents balance decreased from $159.2 million as of December 31, 2024, to $114.6 million as of March 31,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Additional commentary related to macroeconomic trends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monitor recent macroeconomic trends and geopolitical events, including, without limitation, ongoing global conflicts, trade barriers including tariffs, financial and stock market volatility, higher interest rates, inflation, and their impacts. These events have and may continue to negatively impact consumer confidence and consumer spending, which have and may continue to adversely affect our business and our results of operations. Many of our suppliers source from other countries and may be negatively affected by increased tariffs or other import/export controls by the United States and foreign governments, as well as uncertainty in the market as it responds to global macroeconomic factors. Due to the uncertain and constantly evolving nature and volatility of these trends and events, we cannot currently predict their long-term impact on our operations and financial results. As of March 31, 2025, the challenges arising from these events have not adversely affected our liquidity or capacity to service our debt, nor have these conditions required us to reduce our capital expenditures.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Comparisons of Three Months Ended March 31, 2025 to Three Months Ended March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revenue, cost of goods sold, gross profit and gross margin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net revenue, cost of goods sold, and gross profit (in thousands):</w:t>
      </w:r>
    </w:p>
    <w:tbl>
      <w:tblPr>
        <w:tblW w:w="6949" w:type="dxa"/>
        <w:jc w:val="center"/>
        <w:tblInd w:w="0" w:type="dxa"/>
        <w:tblLayout w:type="fixed"/>
        <w:tblCellMar>
          <w:top w:w="28" w:type="dxa"/>
          <w:left w:w="28" w:type="dxa"/>
          <w:bottom w:w="28" w:type="dxa"/>
          <w:right w:w="28" w:type="dxa"/>
        </w:tblCellMar>
      </w:tblPr>
      <w:tblGrid>
        <w:gridCol w:w="1275"/>
        <w:gridCol w:w="1124"/>
        <w:gridCol w:w="1126"/>
        <w:gridCol w:w="211"/>
        <w:gridCol w:w="826"/>
        <w:gridCol w:w="271"/>
        <w:gridCol w:w="109"/>
        <w:gridCol w:w="109"/>
        <w:gridCol w:w="109"/>
        <w:gridCol w:w="211"/>
        <w:gridCol w:w="826"/>
        <w:gridCol w:w="271"/>
        <w:gridCol w:w="109"/>
        <w:gridCol w:w="109"/>
        <w:gridCol w:w="109"/>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 and other 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percentage change</w:t>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 of net revenue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 and other 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39.4% decrease in net revenue for the three months ended March 31, 2025, as compared to the same period in 2024, was primarily due to a 46% decrease in orders delivered. The decrease was partially offset by a 12% increase in average order value. The decrease in orders delivered was driven by a decline in website visits influenced in part by a shift in consumer spending preferences and macroeconomic factors impacting consumer sentiment and the home furnishings industry as well as a reduction in overall sales and marketing spend as we focus on reducing spend by improving more efficient traffic channels. The increase in average order value was largely driven by the seasonality of orders mixing into categories with higher average unit retail price.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net revenues were less than 7% of total net revenues for each of the three months ended March 31, 2025 and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estimate of average transit times (days)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related to merchandise sales is recognized upon delivery to our customers. As we ship high volumes of packages through multiple carriers, it is not practical for us to track the actual delivery date of each shipment. Therefore, we use estimates to determine which shipments are delivered and, therefore, recognized as revenue at the end of the period. Our delivery date estimates are based on average shipping transit times. We review and update our estimates on a quarterly basis based on our actual transit time experience. However, actual shipping times may differ from our estimates, which can be further impacted by uncertainty, volatility, and any disruption to our carriers caused by certain macroeconomic conditions, such as supply chain challenges, trade barriers including tariffs, inflation, rising interest rates, climate and weather events, or geopolitical events.</w:t>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effect that hypothetical changes in the estimate of average shipping transit times would have had on the reported amount of revenue and income before income taxes (in thousands):</w:t>
      </w:r>
    </w:p>
    <w:tbl>
      <w:tblPr>
        <w:tblW w:w="9954" w:type="dxa"/>
        <w:jc w:val="center"/>
        <w:tblInd w:w="0" w:type="dxa"/>
        <w:tblLayout w:type="fixed"/>
        <w:tblCellMar>
          <w:top w:w="28" w:type="dxa"/>
          <w:left w:w="28" w:type="dxa"/>
          <w:bottom w:w="28" w:type="dxa"/>
          <w:right w:w="28" w:type="dxa"/>
        </w:tblCellMar>
      </w:tblPr>
      <w:tblGrid>
        <w:gridCol w:w="1767"/>
        <w:gridCol w:w="1553"/>
        <w:gridCol w:w="1555"/>
        <w:gridCol w:w="109"/>
        <w:gridCol w:w="109"/>
        <w:gridCol w:w="109"/>
        <w:gridCol w:w="366"/>
        <w:gridCol w:w="1200"/>
        <w:gridCol w:w="189"/>
        <w:gridCol w:w="109"/>
        <w:gridCol w:w="109"/>
        <w:gridCol w:w="109"/>
        <w:gridCol w:w="665"/>
        <w:gridCol w:w="1518"/>
        <w:gridCol w:w="487"/>
      </w:tblGrid>
      <w:tr>
        <w:trPr/>
        <w:tc>
          <w:tcPr>
            <w:tcW w:w="176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2025</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the Estimate of Average Transit Times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br/>
              <w:t> Income Before Income Taxes</w:t>
            </w:r>
          </w:p>
        </w:tc>
      </w:tr>
      <w:tr>
        <w:trPr/>
        <w:tc>
          <w:tcPr>
            <w:tcW w:w="4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profit and gross margin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overall gross margins fluctuate based on factors such as competitive pricing; product costs; discounting; product mix of sales; advertising revenue and our marketing allowance program; and operational and fulfillment costs which include costs incurred to operate and staff warehouses, including rent and depreciation expense associated with these facilities, costs to receive, inspect, pick, and prepare customer order for delivery, and direct and indirect labor costs including payroll, payroll-related benefits, and stock-based compensation, all of which we include as costs in calculating gross margin.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margins for the past five quarterly periods and fiscal year ending 2024 were:</w:t>
      </w:r>
    </w:p>
    <w:tbl>
      <w:tblPr>
        <w:tblW w:w="9115" w:type="dxa"/>
        <w:jc w:val="left"/>
        <w:tblInd w:w="0" w:type="dxa"/>
        <w:tblLayout w:type="fixed"/>
        <w:tblCellMar>
          <w:top w:w="28" w:type="dxa"/>
          <w:left w:w="28" w:type="dxa"/>
          <w:bottom w:w="28" w:type="dxa"/>
          <w:right w:w="28" w:type="dxa"/>
        </w:tblCellMar>
      </w:tblPr>
      <w:tblGrid>
        <w:gridCol w:w="429"/>
        <w:gridCol w:w="377"/>
        <w:gridCol w:w="379"/>
        <w:gridCol w:w="255"/>
        <w:gridCol w:w="256"/>
        <w:gridCol w:w="458"/>
        <w:gridCol w:w="109"/>
        <w:gridCol w:w="109"/>
        <w:gridCol w:w="109"/>
        <w:gridCol w:w="255"/>
        <w:gridCol w:w="256"/>
        <w:gridCol w:w="458"/>
        <w:gridCol w:w="109"/>
        <w:gridCol w:w="109"/>
        <w:gridCol w:w="109"/>
        <w:gridCol w:w="255"/>
        <w:gridCol w:w="256"/>
        <w:gridCol w:w="458"/>
        <w:gridCol w:w="109"/>
        <w:gridCol w:w="109"/>
        <w:gridCol w:w="109"/>
        <w:gridCol w:w="255"/>
        <w:gridCol w:w="256"/>
        <w:gridCol w:w="458"/>
        <w:gridCol w:w="109"/>
        <w:gridCol w:w="109"/>
        <w:gridCol w:w="109"/>
        <w:gridCol w:w="255"/>
        <w:gridCol w:w="256"/>
        <w:gridCol w:w="458"/>
        <w:gridCol w:w="109"/>
        <w:gridCol w:w="109"/>
        <w:gridCol w:w="109"/>
        <w:gridCol w:w="255"/>
        <w:gridCol w:w="256"/>
        <w:gridCol w:w="458"/>
        <w:gridCol w:w="109"/>
        <w:gridCol w:w="109"/>
        <w:gridCol w:w="109"/>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FY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for the three months ended March 31, 2025 decreased 21.8% compared to the same period in 2024, primarily due to a decrease in revenue. Gross margin increased to 25.1% for the three months ended March 31, 2025, compared to 19.5% for the same period in 2024, primarily driven by merchandising actions and a reduction in carrier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a variety of online advertising channels to attract new and repeat customers, including search engine marketing, personalized emails, mobile app, loyalty program, affiliate marketing, display banners, and social media. We also build our brand awareness through linear and streaming TV advertising.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our discounted shipping and other promotions, such as coupons, are not included in sales and marketing expenses. Rather, they are accounted for as a reduction in revenue as they reduce the amount of consideration we expect to receive in exchange for goods or services and therefore affect net revenues and gross margin. We consider these promotions to be an effective marketing tool.</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sales and marketing expenses (in thousands):</w:t>
      </w:r>
    </w:p>
    <w:tbl>
      <w:tblPr>
        <w:tblW w:w="8404" w:type="dxa"/>
        <w:jc w:val="center"/>
        <w:tblInd w:w="0" w:type="dxa"/>
        <w:tblLayout w:type="fixed"/>
        <w:tblCellMar>
          <w:top w:w="28" w:type="dxa"/>
          <w:left w:w="28" w:type="dxa"/>
          <w:bottom w:w="28" w:type="dxa"/>
          <w:right w:w="28" w:type="dxa"/>
        </w:tblCellMar>
      </w:tblPr>
      <w:tblGrid>
        <w:gridCol w:w="1876"/>
        <w:gridCol w:w="1651"/>
        <w:gridCol w:w="1663"/>
        <w:gridCol w:w="211"/>
        <w:gridCol w:w="721"/>
        <w:gridCol w:w="271"/>
        <w:gridCol w:w="109"/>
        <w:gridCol w:w="109"/>
        <w:gridCol w:w="109"/>
        <w:gridCol w:w="211"/>
        <w:gridCol w:w="721"/>
        <w:gridCol w:w="271"/>
        <w:gridCol w:w="109"/>
        <w:gridCol w:w="109"/>
        <w:gridCol w:w="109"/>
        <w:gridCol w:w="154"/>
      </w:tblGrid>
      <w:tr>
        <w:trPr/>
        <w:tc>
          <w:tcPr>
            <w:tcW w:w="187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expense included in sales and marketing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percentage change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expense included in sales and marketing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 of net revenue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expense included in sales and marketing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430 basis point decrease in sales and marketing expenses as a percent of net revenue for the three months ended March 31, 2025, as compared to the same period in 2024, was primarily due to decreased performance marketing expense and brand advertising.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Technology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seek to deploy our capital resources efficiently in technology to support operations, including private and public cloud, web services, customer support solutions, and product search. We aim to enhance the customer experience by investing in technology, including investing in machine learning algorithms and generative AI, improving our process automation and efficiency, modernizing and expanding our systems, and supporting and expanding our logistics infrastructure. We expect to continue to incur technology expenses to support these efforts and these expenditures may continue to be material.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frequency and variety of cyberattacks on our websites, enterprise systems, services, and on third parties we use to support our technology continues to increase. The impact of such attacks, their costs, and the costs we incur to protect ourselves against future attacks, have not been material to date. However, we consider the risk introduced by cyberattacks to be serious and will continue to incur costs related to efforts to protect ourselves against them.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technology expenses (in thousands):</w:t>
      </w:r>
    </w:p>
    <w:tbl>
      <w:tblPr>
        <w:tblW w:w="7294" w:type="dxa"/>
        <w:jc w:val="center"/>
        <w:tblInd w:w="0" w:type="dxa"/>
        <w:tblLayout w:type="fixed"/>
        <w:tblCellMar>
          <w:top w:w="28" w:type="dxa"/>
          <w:left w:w="28" w:type="dxa"/>
          <w:bottom w:w="28" w:type="dxa"/>
          <w:right w:w="28" w:type="dxa"/>
        </w:tblCellMar>
      </w:tblPr>
      <w:tblGrid>
        <w:gridCol w:w="1477"/>
        <w:gridCol w:w="1299"/>
        <w:gridCol w:w="1304"/>
        <w:gridCol w:w="211"/>
        <w:gridCol w:w="721"/>
        <w:gridCol w:w="271"/>
        <w:gridCol w:w="109"/>
        <w:gridCol w:w="109"/>
        <w:gridCol w:w="109"/>
        <w:gridCol w:w="211"/>
        <w:gridCol w:w="721"/>
        <w:gridCol w:w="271"/>
        <w:gridCol w:w="109"/>
        <w:gridCol w:w="109"/>
        <w:gridCol w:w="109"/>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percentage change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expenses as a percent of net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$2.9 million decrease in technology expenses for the three months ended March 31, 2025, as compared to the same period in 2024, was primarily due to a reduction in staff-related expenses.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General and administrative expenses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general and administrative expenses (in thousands):</w:t>
      </w:r>
    </w:p>
    <w:tbl>
      <w:tblPr>
        <w:tblW w:w="8494" w:type="dxa"/>
        <w:jc w:val="center"/>
        <w:tblInd w:w="0" w:type="dxa"/>
        <w:tblLayout w:type="fixed"/>
        <w:tblCellMar>
          <w:top w:w="28" w:type="dxa"/>
          <w:left w:w="28" w:type="dxa"/>
          <w:bottom w:w="28" w:type="dxa"/>
          <w:right w:w="28" w:type="dxa"/>
        </w:tblCellMar>
      </w:tblPr>
      <w:tblGrid>
        <w:gridCol w:w="1914"/>
        <w:gridCol w:w="1681"/>
        <w:gridCol w:w="1685"/>
        <w:gridCol w:w="211"/>
        <w:gridCol w:w="721"/>
        <w:gridCol w:w="271"/>
        <w:gridCol w:w="109"/>
        <w:gridCol w:w="109"/>
        <w:gridCol w:w="109"/>
        <w:gridCol w:w="211"/>
        <w:gridCol w:w="721"/>
        <w:gridCol w:w="271"/>
        <w:gridCol w:w="109"/>
        <w:gridCol w:w="109"/>
        <w:gridCol w:w="109"/>
        <w:gridCol w:w="154"/>
      </w:tblGrid>
      <w:tr>
        <w:trPr/>
        <w:tc>
          <w:tcPr>
            <w:tcW w:w="191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percentage change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as a percent of net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$6.1 million decrease in general and administrative expenses for the three months ended March 31, 2025, as compared to the same period in 2024, was primarily due to a reduction in staff-related expenses.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Customer service and merchant fees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Customer service and merchant fees include customer service costs and merchant processing fees associated with customer payments made by credit cards and other payment methods and other variable fees. Customer service and merchant fees as a percent of net revenue may vary due to several factors, such as our ability to effectively manage customer service costs and merchant fees.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customer service and merchant fees (in thousands):</w:t>
      </w:r>
    </w:p>
    <w:tbl>
      <w:tblPr>
        <w:tblW w:w="8313" w:type="dxa"/>
        <w:jc w:val="left"/>
        <w:tblInd w:w="0" w:type="dxa"/>
        <w:tblLayout w:type="fixed"/>
        <w:tblCellMar>
          <w:top w:w="28" w:type="dxa"/>
          <w:left w:w="28" w:type="dxa"/>
          <w:bottom w:w="28" w:type="dxa"/>
          <w:right w:w="28" w:type="dxa"/>
        </w:tblCellMar>
      </w:tblPr>
      <w:tblGrid>
        <w:gridCol w:w="1883"/>
        <w:gridCol w:w="1657"/>
        <w:gridCol w:w="1664"/>
        <w:gridCol w:w="211"/>
        <w:gridCol w:w="616"/>
        <w:gridCol w:w="271"/>
        <w:gridCol w:w="109"/>
        <w:gridCol w:w="109"/>
        <w:gridCol w:w="109"/>
        <w:gridCol w:w="211"/>
        <w:gridCol w:w="721"/>
        <w:gridCol w:w="271"/>
        <w:gridCol w:w="109"/>
        <w:gridCol w:w="109"/>
        <w:gridCol w:w="109"/>
        <w:gridCol w:w="154"/>
      </w:tblGrid>
      <w:tr>
        <w:trPr/>
        <w:tc>
          <w:tcPr>
            <w:tcW w:w="1883"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service and merchant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Year-over-year percentage change</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service and merchant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service and merchant fees as a percent of net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$4.6 million decrease in customer service and merchant fees for the three months ended March 31, 2025, as compared to the same period in 2024, was primarily due to decreased order volume.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expense,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$1.9 million decrease in other expense, net for the three months ended March 31, 2025 as compared to the same period in 2024, was primarily due to a $1.4 million decrease in loss recognized from our equity method securities.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for interim periods is determined using an estimate of our annual effective tax rate adjusted for discrete items, if any, for relevant interim periods. We update our estimate of the annual effective tax rate each quarter and make cumulative adjustments if our estimated annual effective tax rate changes.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tax provision and our quarterly estimate of our annual effective tax rate are subject to significant variations due to several factors including: variability in predicting our pre-tax and taxable income, the mix of jurisdictions to which those items relate, relative changes in expenses or losses for which tax benefits are limited or not recognized, how we do business, fluctuations in our stock price, economic outlook, political climate, and other conditions such as supply chain challenges, inflation, rising interest rates, and geopolitical events. In addition, changes in laws, regulations, and administrative practices will impact our rate. Our effective tax rate can be volatile based on the amount of pre-tax income. For example, the impact of discrete items on our effective tax rate is greater when pre-tax income is lower.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provision for income tax for the three months ended March 31, 2025 and 2024 was $194,000 and $329,000, respectively. The effective tax rate for the three months ended March 31, 2025 and 2024 was (0.5)% and (0.4)%, respectively. Our tax provision and rate differs from the statutory federal income tax rate of 21% primarily due to year-to-date losses on our retail operations for which tax benefits are limited.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quarter we assess on a jurisdictional basis whether it is more likely than not that our deferred tax assets will be realized under ASC Topic 740. We have no carryback ability, and therefore we must rely on future taxable income, including tax planning strategies and future reversals of taxable temporary differences, to recover our deferred tax assets. We assess available positive and negative evidence to estimate whether we will generate sufficient future taxable income to use our existing deferred tax assets. A significant piece of objective negative evidence evaluated as of March 31, 2025, is the cumulative loss position over a three-year period generated by our U.S. retail operations. On the basis of this evaluation, we continue to maintain a valuation allowance against our deferred tax assets for the U.S. jurisdiction, not supported by reversals of taxable temporary differences. We intend to continue maintaining a valuation allowance on our net U.S. deferred tax assets until there is sufficient evidence to support the reversal of all or some portion of these allowances. We will continue to monitor the need for a valuation allowance against our deferred tax assets on a quarterly basis.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we repatriate foreign earnings for use in the United States, the distributions are generally exempt from federal and foreign income taxes but may be subject to certain state taxes. As of March 31, 2025, the cumulative amount of foreign earnings considered permanently reinvested upon which taxes have not been provided, and the corresponding unrecognized deferred tax liability, was not material.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taxation in the United States and multiple state and foreign jurisdictions. Tax years beginning in 2020 are subject to examination by taxing authorities, although net operating loss and credit carryforwards from all years are subject to examinations and adjustments for at least three years following the year in which the attributes are used.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and cash equivalents currently on hand and expected cash flows from future operations will be sufficient to continue operations for at least the next twelve months. We continue to monitor, evaluate, and manage our operating plans, forecasts, and liquidity considering the most recent developments driven by macroeconomic conditions, such as supply chain challenges, inflation, rising interest rates, tariffs, bans, or other measures or events that increase the effective price of products, and other geopolitical events. We proactively seek opportunities to improve the efficiency of our operations and have in the past and may in the future take steps to realize internal cost savings, including aligning our staffing needs, creating a more variable cost structure to better support our current and expected future levels of operations and process streamlining.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periodically evaluate opportunities to repurchase our equity securities, obtain credit facilities, or issue additional debt or equity securities, which may impact our future operations and liquidity. In addition, we may, from time to time, consider the investment in, or acquisition of, complementary businesses, products, services, or technologies to expand our business, any of which might affect our liquidity requirements or cause us to issue additional debt or equity securities that would be dilutive to stockholders.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 but not limited to, our growth, our ability to execute on our business strategy, our ability to realize the benefits of any investment in new business strategies, acquisitions, or other transactions, and consumer sentiment towards our offerings. In the event that additional liquidity is required from outside sources, we may not be able to raise the capital on terms acceptable to us or at all. If we are unable to raise additional capital when desired, our business, financial condition, and results of operations could be adversely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sources of liquidity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sources of liquidity are existing cash and cash equivalents and accounts receivable, net. At March 31, 2025, we had $114.6 million of cash and cash equivalents and $18.1 million of accounts receivable, net of allowance for credit losses.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April 3, 2025, the Company entered into a standby letter of credit agreement with BMO Bank N.A. in an initial amount of $5.0 million, expiring on April 3, 2026. The letter of credit was issued in favor of one of the Company's payment processors as a financial guarantee in connection with ongoing payment processing operations. In accordance with the terms of the agreement with the Company's payment processor, the letter of credit is expected to be increased by $3.0 million, 30 days following the initial issuance, and further increased by an additional $3.0 million, 60 days following the initial issuance. Upon completion of these scheduled increases, the total letter of credit is expected to be valued at $11.0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entered into a Sales Agreement dated June 10, 2024 with JonesTrading, under which have conducted and may in the future conduct "at the market" public offerings of our common stock. Under the Sales Agreement, JonesTrading, acting as our sales agent or principal, may offer our common stock in the market on a daily basis or otherwise as we request from time to time. At March 31, 2025, we had $136.3 million available under our "at the market" sales program. We have no obligation to sell additional shares under the Sales Agreement, but we may do so from time to time. Under the agreement, we will pay JonesTrading up to a 2% sales commission on all sales. For the three months ended March 31, 2025, we sold 3,486,895 shares of our common stock pursuant to the Sales Agreement and have recognized $19.5 million in proceeds, net of $398,000 of offering costs, including commissions paid to JonesTrading.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flow information is as follows (in thousands):</w:t>
      </w:r>
    </w:p>
    <w:tbl>
      <w:tblPr>
        <w:tblW w:w="5019" w:type="dxa"/>
        <w:jc w:val="center"/>
        <w:tblInd w:w="0" w:type="dxa"/>
        <w:tblLayout w:type="fixed"/>
        <w:tblCellMar>
          <w:top w:w="28" w:type="dxa"/>
          <w:left w:w="28" w:type="dxa"/>
          <w:bottom w:w="28" w:type="dxa"/>
          <w:right w:w="28" w:type="dxa"/>
        </w:tblCellMar>
      </w:tblPr>
      <w:tblGrid>
        <w:gridCol w:w="873"/>
        <w:gridCol w:w="769"/>
        <w:gridCol w:w="773"/>
        <w:gridCol w:w="211"/>
        <w:gridCol w:w="796"/>
        <w:gridCol w:w="109"/>
        <w:gridCol w:w="109"/>
        <w:gridCol w:w="109"/>
        <w:gridCol w:w="109"/>
        <w:gridCol w:w="211"/>
        <w:gridCol w:w="796"/>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(used in) provided by:</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received from customers generally corresponds to our net revenues as our customers primarily use credit cards to buy from us, causing our receivables from these sales transactions to settle quickly. We have payment terms with our partners that generally extend beyond the amount of time necessary to collect proceeds from our customers. </w:t>
      </w:r>
    </w:p>
    <w:p>
      <w:pPr>
        <w:pStyle w:val="TextBody"/>
        <w:bidi w:val="0"/>
        <w:spacing w:before="0" w:after="0"/>
        <w:ind w:left="0" w:right="0" w:firstLine="54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$50.9 million of net cash used in operating activities during the three months ended March 31, 2025 was primarily due to loss from operating activities adjusted for non-cash items of $16.3 million and cash used by changes in operating assets and liabilities of $34.6 million with $15.0 million used for the purchase of inventory and the remainder primarily due to timing of partner and marketing payments.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$34.6 million of net cash used in operating activities during the three months ended March 31, 2024 was primarily due to loss from operating activities adjusted for non-cash items of $46.0 million offset by cash provided by changes in operating assets and liabilities of $11.4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investing activities resulted in a net cash outflow of $13.1 million, primarily due to $8.0 million for purchases of equity securities, $5.2 million for purchases of intangible assets, and $1.2 million of expenditures for property and equipment, offset by $1.3 million of proceeds received from the sale of intangible assets.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investing activities resulted in a net cash outflow of $9.1 million, primarily due to $5.7 million for purchases of intangible assets and $3.4 million of expenditures for property and equipment.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financing activities resulted in a net cash inflow of $19.5 million, primarily due to $19.5 million in net proceeds from the sales of our common stock pursuant to our "at the market" public offering, net of offering costs.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financing activities resulted in a net cash outflow of $2.5 million, primarily due to $3.2 million for payment of taxes withheld upon vesting of employee stock awards.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contractual obligations as of March 31, 2025 and the effect such obligations and commitments are expected to have on our liquidity and cash flow in future periods (in thousands):</w:t>
      </w:r>
    </w:p>
    <w:tbl>
      <w:tblPr>
        <w:tblW w:w="10077" w:type="dxa"/>
        <w:jc w:val="center"/>
        <w:tblInd w:w="0" w:type="dxa"/>
        <w:tblLayout w:type="fixed"/>
        <w:tblCellMar>
          <w:top w:w="28" w:type="dxa"/>
          <w:left w:w="28" w:type="dxa"/>
          <w:bottom w:w="28" w:type="dxa"/>
          <w:right w:w="28" w:type="dxa"/>
        </w:tblCellMar>
      </w:tblPr>
      <w:tblGrid>
        <w:gridCol w:w="1048"/>
        <w:gridCol w:w="922"/>
        <w:gridCol w:w="924"/>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372"/>
        <w:gridCol w:w="1086"/>
        <w:gridCol w:w="192"/>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920" w:type="dxa"/>
            <w:gridSpan w:val="25"/>
            <w:tcBorders/>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w:t>
              <w:b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1-3</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5 years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cash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color w:val="000000"/>
        </w:rPr>
      </w:pPr>
      <w:r>
        <w:rPr>
          <w:color w:val="000000"/>
        </w:rPr>
        <w:t> </w:t>
      </w:r>
      <w:r>
        <w:rPr>
          <w:rFonts w:ascii="Times New Roman;sans-serif" w:hAnsi="Times New Roman;sans-serif"/>
          <w:b w:val="false"/>
          <w:color w:val="000000"/>
          <w:sz w:val="20"/>
        </w:rPr>
        <w:t>__________________________________________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Represents the future minimum lease payments under non-cancellable operating leases. For information regarding our operating lease obligations, see Note 8—Leases, in the Notes to Unaudited Consolidated Financial Statements included in Item 1, Part I, Financial Statements (Unaudited) of this Quarterly Report on Form 10-Q.</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Tax 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tax matters, the outcomes of which are uncertain. As of March 31, 2025, accrued tax contingencies were $3.7 million. Changes in federal, foreign, state, and local tax laws may increase our tax contingencies. The timing of the resolution of income tax contingencies is highly uncertain, and the amounts ultimately paid, if any, upon resolution of issues raised by the taxing authorities may differ from the amounts accrued. It is reasonably possible that within the next 12 months we will receive additional assessments by various tax authorities. These assessments may or may not result in changes to our contingencies related to positions on prior years' tax filings.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our financial statements requires that we make estimates and judgments. We base these on historical experience and on other assumptions that we believe to be reasonable. Except as disclosed in Note 2—Summary of Significant Accounting Policies, in the Notes to Unaudited Consolidated Financial Statements included in Item 1, Part I, Financial Statements (Unaudited) of this Quarterly Report on Form 10-Q, there have been no material changes to our critical accounting policies and estimates as compared to the critical accounting policies and estimates described in Critical Accounting Policies and Estimates, included in Part II, Item 7, Management's Discussion and Analysis of Financial Condition and Results of Operations and in Note 2—Accounting Policies and Supplemental Disclosures, included in Part II, Item 8, Financial Statements and Supplementary Data, of our Annual Report on Form 10-K for the year ended December 31, 2024.</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from interest rate changes, foreign currency fluctuations, and changes in the market values of our securities. Information relating to quantitative and qualitative disclosures about these market risks is set forth below.</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Sensitivity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cash and cash equivalents (highly liquid instruments with a remaining maturity of 90 days or less at the date of purchase) would not be significantly affected by either an increase or decrease in interest rates due mainly to the short-term nature of these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the revolving line of credit incurred pursuant to the Credit Agreement described herein would accrue based on market rates plus 1.00%, for a one-month interest period; however, we do not expect that any changes in prevailing interest rates will have a material impact on our results of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Most of our sales and operating expenses are denominated in U.S. dollars, and therefore, our net revenue and operating expenses are not currently subject to significant foreign currency risk. As we grow our operations, our exposure to foreign currency risk could become more significant.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Inflation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Increases in commodity and shipping prices and energy and labor costs have resulted in inflationary pressures across various parts of our business and operations, including our partners and supply chain. We continue to monitor the impact of inflation to minimize its effects on our customers. We work with our partners to limit the amount of cost increases that are passed on through higher pricing. If costs borne by the Company or our partners were to be subject to incremental inflationary pressures, we may not be able to fully offset such higher costs through pricing actions or other cost efficiency measures. Our inability or failure to do so could harm our business, financial condition, and results of operations. While it is difficult to accurately measure the impact of inflation due to the imprecise nature of the estimates required, we believe the effects of inflation, if any, on our historical results of operations and financial condition have been immaterial. We cannot assure you, however, that our results of operations and financial condition will not be materially impacted by inflation in the future.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Investment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our equity and debt securities may be subject to fluctuations due to volatility of the stock market in general, investment-specific circumstances, and changes in general economic conditions. At March 31, 2025, our recorded value in equity securities of private and public companies was $77.7 million, of which $11.4 million relates to publicly-traded companies, recorded at fair value, which are subject to market price volatility. At March 31, 2025, $14.0 million of our equity securities and $18.2 million of our debt securities are recorded at fair value using Level 3 inputs. Our fair value assessment of private companies includes a review of recent operating results and trends, recent sales/acquisitions of the securities, and other publicly available data. Valuations of private companies are inherently more complex due to the lack of readily available market data. As such, we believe that providing a sensitivity analysis is not practicable. These investments valued using Level 3 inputs represent 49.0% of assets measured at fair value. See Note 3—Fair Value Measurement for further information. For our equity interest in Medici Ventures, L.P., we record our proportionate share of the entity's reported net income or loss, which reflects the fair value changes of the underlying investments of the entity and any other income or losses of the entity.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of the effectiveness of our disclosure controls and procedures as required by Rule 13a-15(e) and 15d-15(e) of the Securities Exchange Act of 1934, as amended (the "Exchange Act") under the supervision and with the participation of our principal executive officer and principal financial officer, as of the end of the period covered by this report. Based on this evaluation, our principal executive officer and principal financial officer concluded that our disclosure controls and procedures were effective at the reasonable assurance level.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Limitations on 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that occurred during the quarter ended March 31,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or become subject to litigation or other legal proceedings concerning consumer protection, employment, privacy, intellectual property, claims under the securities laws, and other commercial matters related to the conduct and operation of our business and the sale of products on our websites. We also prosecute lawsuits to enforce our legal rights. In connection with such litigation or other legal proceedings, we have been in the past and we may be in the future subject to equitable remedies relating to the operation of our business or judgments requiring us to pay significant damages or associated costs.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For additional details, see the information set forth under Item I of Part I, Financial Statements (Unaudited)—Note 9—Commitments and Contingencies, subheading Legal Proceedings and Contingencies, contained in the Notes to Unaudited Consolidated Financial Statements of this Quarterly Report on Form 10-Q, which is incorporated by reference in answer to this Item.</w:t>
      </w:r>
    </w:p>
    <w:p>
      <w:pPr>
        <w:pStyle w:val="TextBody"/>
        <w:bidi w:val="0"/>
        <w:spacing w:lineRule="auto" w:line="288" w:before="0" w:after="0"/>
        <w:ind w:left="0" w:right="0" w:firstLine="5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Any investment in our securities involves a high degree of risk. Please consider the following risk factors and the risk factors previously disclosed in Part 1, Item 1A, "Risk Factors," of our Annual Report on Form 10-K for the year ended December 31, 2024</w:t>
      </w:r>
      <w:r>
        <w:rPr>
          <w:color w:val="000000"/>
        </w:rPr>
        <w:t xml:space="preserve"> </w:t>
      </w:r>
      <w:r>
        <w:rPr>
          <w:rFonts w:ascii="Times New Roman;sans-serif" w:hAnsi="Times New Roman;sans-serif"/>
          <w:b w:val="false"/>
          <w:i/>
          <w:color w:val="000000"/>
          <w:sz w:val="20"/>
        </w:rPr>
        <w:t>carefully. If any one or more of such risks were to occur, it could have a material adverse effect on our business, prospects, financial condition and results of operations, and the market price of our securities could decrease significantly. Statements to the effect that an event could or would harm our business (or have an adverse effect on our business or similar statements) mean that the event could or would have a material adverse effect on our business, prospects, financial condition and results of operations, which in turn could or would have a material adverse effect on the market price of our securities. Many of the risks we face involve more than one type of risk. Consequently, you should carefully read all of the risk factors below, the risk factors described in our Form 10-K for the year ended December 31, 2024, and in any reports we file with the SEC after we file this Form 10-Q, before making any decision to acquire or hold our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risk factors set forth below, there are no material changes from the risk factors previously disclosed in Part I, Item 1A, "Risk Factors," of our Annual Report on Form 10-K for the year ended December 31, 2024.</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Tariffs, bans, or other measures or events that increase the effective price of products or limit our ability to access products we or our suppliers, fulfillment partners, or other third parties that import or export could have a material adverse effect on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and many of our suppliers and fulfillment partners source a large percentage of the products we offer on our Website from China and other countries. Restrictions on international trade, including increased tariffs or other trade barriers are expected to increase the prices of imported products sold on our Website or limit our ability to access products sold on our Website. These factors in turn could reduce consumer demand and impact sales volume. Increased prices and/or supply chain challenges and the unpredictability of applicable trade barriers, including their scope and duration, have had an adverse effect and could in the future have a material adverse effect on our financial results, business and prospects, including due to their impact on general macroeconomic conditions.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Purchases of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11—Stockholders' Equity, in the Notes to Unaudited Consolidated Financial Statements included in Item 1, Part I, Financial Statements (Unaudited) of this Quarterly Report on Form 10-Q for information regarding our authorized share repurchase program. There were no repurchases made during the three months ended March 31, 2025. As of March 31, 2025, the approximate dollar value of shares that may yet be purchased under the stock repurchase program is $69.9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 Disclosure in lieu of reporting on a Current Report on Form 8-K.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 Material changes to the procedures by which security holders may recommend nominees to the board of directors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 Insider trading arrangements and policies.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26, 2025, Dave Nielsen, former President of the Company, terminated a trading plan intended to satisfy Rule 10b5-1(c) to sell up to 5,528 shares of Beyond, Inc. common stock between March 5, 2025 and December 31, 2025, subject to certain conditions.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other than Mr. Nielsen,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0"/>
        <w:gridCol w:w="270"/>
        <w:gridCol w:w="271"/>
        <w:gridCol w:w="109"/>
        <w:gridCol w:w="109"/>
        <w:gridCol w:w="109"/>
        <w:gridCol w:w="2490"/>
        <w:gridCol w:w="2478"/>
        <w:gridCol w:w="34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34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Asset Purchase Agreement, dated June 12, 2023, by and among Overstock.com, Inc., Bed Bath &amp; Beyond Inc. and certain subsidiaries of Bed Bath &amp; Beyond Inc., incorporated by reference to Exhibit 2.1 to the Company's Current Report on Form 8-K filed on June 13, 2023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Certificate of Incorporation, incorporated by reference to Exhibit 3.1 to the Company's Quarterly Report on Form 10-Q filed on July 29, 2014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Certificate of Amendment to Amended and Restated Certificate of Incorporation, incorporated by reference to Exhibit 3.2 to the Company's Current Report on Form 8-K filed on November 6, 2023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Certificate of Amendment to Amended and Restated Certificate of Incorporation, incorporated by reference to Exhibit 3.1 to the Company's Current Report on Form 8-K filed on May 24, 2024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Fourth Amended and Restated Bylaws, incorporated by reference to Exhibit 3.2 to the Company's Current Report on Form 8-K filed on May 24, 2024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Form of Indenture, incorporated by reference to Exhibit 4.3 to the Company's Registration Statement on Form S-3ASR filed on June 10, 2024</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yon-20250331xexx101.htm">
              <w:r>
                <w:rPr>
                  <w:rStyle w:val="InternetLink"/>
                  <w:rFonts w:ascii="Times New Roman;sans-serif" w:hAnsi="Times New Roman;sans-serif"/>
                  <w:b w:val="false"/>
                  <w:color w:val="0000FF"/>
                  <w:sz w:val="20"/>
                  <w:u w:val="single"/>
                </w:rPr>
                <w:t>Employment Letter Agreement between Beyond, Inc. and Adrianne Lee, dated as of March 10, 2025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yon-20250331xexx102.htm">
              <w:r>
                <w:rPr>
                  <w:rStyle w:val="InternetLink"/>
                  <w:rFonts w:ascii="Times New Roman;sans-serif" w:hAnsi="Times New Roman;sans-serif"/>
                  <w:b w:val="false"/>
                  <w:color w:val="0000FF"/>
                  <w:sz w:val="20"/>
                  <w:u w:val="single"/>
                </w:rPr>
                <w:t>Employment Letter Agreement between Beyond, Inc. and Leah Putnam, dated as of March 10, 2025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yon-20250331xexx103.htm">
              <w:r>
                <w:rPr>
                  <w:rStyle w:val="InternetLink"/>
                  <w:rFonts w:ascii="Times New Roman;sans-serif" w:hAnsi="Times New Roman;sans-serif"/>
                  <w:b w:val="false"/>
                  <w:color w:val="0000FF"/>
                  <w:sz w:val="20"/>
                  <w:u w:val="single"/>
                </w:rPr>
                <w:t>Employment Letter Agreement between Beyond, Inc. and Alexander Thomas, dated as of March 10, 2025</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yon-20250331xexx311.htm">
              <w:r>
                <w:rPr>
                  <w:rStyle w:val="InternetLink"/>
                  <w:rFonts w:ascii="Times New Roman;sans-serif" w:hAnsi="Times New Roman;sans-serif"/>
                  <w:b w:val="false"/>
                  <w:color w:val="0000FF"/>
                  <w:sz w:val="20"/>
                  <w:u w:val="single"/>
                </w:rPr>
                <w:t>Rule 13a-14(a)/15d-14(a) Certification of Principal Executive Officer</w:t>
              </w:r>
            </w:hyperlink>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yon-20250331xexx312.htm">
              <w:r>
                <w:rPr>
                  <w:rStyle w:val="InternetLink"/>
                  <w:rFonts w:ascii="Times New Roman;sans-serif" w:hAnsi="Times New Roman;sans-serif"/>
                  <w:b w:val="false"/>
                  <w:color w:val="0000FF"/>
                  <w:sz w:val="20"/>
                  <w:u w:val="single"/>
                </w:rPr>
                <w:t>Rule 13a-14(a)/15d-14(a) Certification of Principal Financial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yon-20250331xexx321.htm">
              <w:r>
                <w:rPr>
                  <w:rStyle w:val="InternetLink"/>
                  <w:rFonts w:ascii="Times New Roman;sans-serif" w:hAnsi="Times New Roman;sans-serif"/>
                  <w:b w:val="false"/>
                  <w:color w:val="0000FF"/>
                  <w:sz w:val="20"/>
                  <w:u w:val="single"/>
                </w:rPr>
                <w:t>Section 1350 Certification of Principal Executive Officer</w:t>
              </w:r>
            </w:hyperlink>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8"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yon-20250331xexx322.htm">
              <w:r>
                <w:rPr>
                  <w:rStyle w:val="InternetLink"/>
                  <w:rFonts w:ascii="Times New Roman;sans-serif" w:hAnsi="Times New Roman;sans-serif"/>
                  <w:b w:val="false"/>
                  <w:color w:val="0000FF"/>
                  <w:sz w:val="20"/>
                  <w:u w:val="single"/>
                </w:rPr>
                <w:t>Section 1350 Certification of Principal Financial Officer</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Attached as Exhibit 101 to this report are the following documents formatted in Inline XBRL (Extensible Business Reporting Language): (i) Consolidated Balance Sheets, (ii) Consolidated Statements of Operations, (iii) Consolidated Statements of Comprehensive Loss, (iv) Consolidated Statements of Cash Flows, (v) Consolidated Statements of Stockholders' Equity, and (vi) Notes to Consolidated Financial Statements.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the Company's Quarterly Report on Form 10-Q for the quarter ended March 31, 2025, formatted in Inline XBRL (included as Exhibit 101).</w:t>
            </w:r>
          </w:p>
        </w:tc>
      </w:tr>
    </w:tbl>
    <w:p>
      <w:pPr>
        <w:pStyle w:val="TextBody"/>
        <w:bidi w:val="0"/>
        <w:spacing w:lineRule="auto" w:line="41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Certain schedules and exhibits have been omitted pursuant to Item 601(a)(5) of Regulation S-K. The Reporting Company agrees to furnish supplementally a copy of any omitted schedule or exhibit to the SEC upon request.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67074a46a1243e4b602fab7b3a560cb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4993"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921"/>
        <w:gridCol w:w="921"/>
        <w:gridCol w:w="130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BEYOND,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39" w:after="283"/>
        <w:jc w:val="right"/>
        <w:rPr>
          <w:rFonts w:ascii="Times New Roman;sans-serif" w:hAnsi="Times New Roman;sans-serif"/>
          <w:b/>
          <w:color w:val="000000"/>
          <w:sz w:val="20"/>
        </w:rPr>
      </w:pPr>
      <w:r>
        <w:rPr>
          <w:rFonts w:ascii="Times New Roman;sans-serif" w:hAnsi="Times New Roman;sans-serif"/>
          <w:b/>
          <w:color w:val="000000"/>
          <w:sz w:val="20"/>
        </w:rPr>
        <w:t>Exhibit 10.1</w:t>
      </w:r>
    </w:p>
    <w:p>
      <w:pPr>
        <w:pStyle w:val="TextBody"/>
        <w:bidi w:val="0"/>
        <w:spacing w:before="39" w:after="283"/>
        <w:jc w:val="righ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10, 2025</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Dear Adrianne,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pleased to offer you the position of President and CFO with Beyond, Inc. (“Beyond”).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your compensation, benefits, and the terms and conditions of our employment offer: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Start Date: March 10, 2025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Status: Full time, Exempt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Cash Salary Compensation: $26,923.08 per pay period, </w:t>
      </w:r>
      <w:r>
        <w:rPr>
          <w:rFonts w:ascii="Times New Roman;sans-serif" w:hAnsi="Times New Roman;sans-serif"/>
          <w:b/>
          <w:color w:val="000000"/>
          <w:sz w:val="20"/>
        </w:rPr>
        <w:t>($700,000 annually)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order to receive the full annual amount of </w:t>
      </w:r>
      <w:r>
        <w:rPr>
          <w:rFonts w:ascii="Times New Roman;sans-serif" w:hAnsi="Times New Roman;sans-serif"/>
          <w:b/>
          <w:color w:val="000000"/>
          <w:sz w:val="20"/>
        </w:rPr>
        <w:t>$700,000</w:t>
      </w:r>
      <w:r>
        <w:rPr>
          <w:rFonts w:ascii="Times New Roman;sans-serif" w:hAnsi="Times New Roman;sans-serif"/>
          <w:b w:val="false"/>
          <w:color w:val="000000"/>
          <w:sz w:val="20"/>
        </w:rPr>
        <w:t>, you must be employed for all 26 pay periods.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Cash Bonus Plan: In addition to your base salary, you may be eligible to earn, for each fiscal year at the Company ending during the term of your employment with the Company, an annual cash bonus, as approved from time to time by the Company’s Board of Directors or Compensation Committee. Your “target” annual bonus for 2025 is currently set at 75% of your base salary. </w:t>
      </w:r>
      <w:r>
        <w:rPr>
          <w:rFonts w:ascii="Times New Roman;sans-serif" w:hAnsi="Times New Roman;sans-serif"/>
          <w:b/>
          <w:color w:val="000000"/>
          <w:sz w:val="20"/>
        </w:rPr>
        <w:t xml:space="preserve">($525,000) </w:t>
      </w:r>
      <w:r>
        <w:rPr>
          <w:rFonts w:ascii="Times New Roman;sans-serif" w:hAnsi="Times New Roman;sans-serif"/>
          <w:b w:val="false"/>
          <w:color w:val="000000"/>
          <w:sz w:val="20"/>
        </w:rPr>
        <w:t>Your actual annual bonus will be determined on the basis of such Company and individual performance criteria established by the Board of Directors or Compensation Committee in accordance with the terms and conditions of any bonus plan adopted from time to time. Your annual bonus will be paid between January 1 and April 1 of the calendar year following the year to which it relates. Except as otherwise provided in the Severance Plan (as defined below), you must be employed by the Company on the date of payment of such annual bonus in order to be eligible to receive such annual bonus.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Equity: We will propose that you receive an incremental equity award of </w:t>
      </w:r>
      <w:r>
        <w:rPr>
          <w:rFonts w:ascii="Times New Roman;sans-serif" w:hAnsi="Times New Roman;sans-serif"/>
          <w:b/>
          <w:color w:val="000000"/>
          <w:sz w:val="20"/>
        </w:rPr>
        <w:t xml:space="preserve">$200,000 </w:t>
      </w:r>
      <w:r>
        <w:rPr>
          <w:rFonts w:ascii="Times New Roman;sans-serif" w:hAnsi="Times New Roman;sans-serif"/>
          <w:b w:val="false"/>
          <w:color w:val="000000"/>
          <w:sz w:val="20"/>
        </w:rPr>
        <w:t>comprised of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$100,000 of restricted stock units (“RSUs”) and $100,000 of performance stock units (“PSUs”) under the terms of the Company’s 2005 Equity Incentive Plan (“EIP”) and the forms of the applicable award agreements which set forth the service periods and performance targets required for the awards to vest, which RSUs and PSUs will be subject to and conditional upon all required targets being achieved and necessary corporate approvals being obtained. (Incremental to the $1,100,000 of equity awards granted on 2/4/2025) Consistent with the EIP you may be eligible for refresh awards to be approved by the Board or Compensation Committee at their discretion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 to: Marcus Lemonis, Executive Chairman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Work Location: Beyond’s corporate offices: Salt Lake City, Utah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Flexible Time Away: Unaccrued, paid time off to be used (without set limits) for purposes such as vacation, relaxation, personal or family needs, and for absences governed by Company leave policies. (subject to the limits specified in those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will continue to be eligible to participate in the following benefits.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Medical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Dental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Vision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Supplemental Life and AD&amp;D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Voluntary Accident, Critical illness, Hospital Indemnity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Flexible Spending Accounts (FSA)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Health Savings Account (HSA)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Prepaid Legal Services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Basic Life and AD&amp;D- Company Paid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Short/Long Term Disability- Company Paid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Employee Assistance Program (EAP)- Company Paid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Employee Wellness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Welcome Rewards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will continue to be eligible to participate in the Beyond 401(k) Plan pursuant to the terms and conditions of such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At-Will Employment; Severance Plan: Beyond, Inc. is an at-will employer. Nothing in this offer shall limit the right of Beyond, Inc. or yourself to terminate the employment relationship. Notwithstanding the foregoing, you may be entitled to severance upon certain qualifying terminations of employment, as outlined in the Company’s Key Employee Severance Plan (the “Severance Plan”). You will continue your designation as a Tier 2 Participant (as defined in the Severance Plan) in the Severance Plan and you’re understanding that you agree to all the terms and conditions of the Severance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Confidentiality Information Agreement and Company Policies: In connection with your employment with the Company, you will receive and have access to Company confidential information and trade secrets. Accordingly, as a condition to your employment with the Company, you agree to continue complying with your obligations set out in the Company’s standard form of Employee Confidentiality, Confidential Information and Invention Assignment and Arbitration Agreement (the “Confidentiality Agreements”), previously entered into by you. In addition, you are required to abide by the Company’s policies and procedures (including but not limited to the Company’s employee handbook), as adopted or modified from time to time within the Company’s discretion, and acknowledge in writing that you have read and will comply with such policies and procedures (and provide additional such acknowledgements as such policies and procedures may be modified from time to time). The Company may modify, revoke, suspend or terminate any of the policies and/or procedures at any time, with or without notice.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Nothing in this Agreement or the Confidentiality Agreements shall prevent you from (i) communicating directly with, cooperating with, or providing information to, or receiving financial awards from, any federal, state or local government agency, including without limitation the U.S. Securities and Exchange Commission, the U.S. Commodity Futures Trading Commission, the U.S. Department of Justice, the U.S. Equal Employment Opportunity Commission, or the U.S.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National Labor Relations Board, without notifying or seeking permission from the Company, (ii) exercising any rights you may have under Section 7 of the U.S. National Labor Relations Act, such as the right to engage in concerted activity, including collective action or discussion concerning wages or working conditions, or (iii) discussing or disclosing information about unlawful acts in the workplace, such as harassment or discrimination based on a protected characteristic or any other conduct that you have reason to believe is unlawful. In addition, you acknowledge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Protection of Third-Party Information: By signing this Agreement, you are representing that you have full authority to accept this position and perform the duties of the position without conflict with any other obligations and that you are not involved in any situation that might create, or appear to create, a conflict of interest with respect to your loyalty to or duties for the Company. You specifically warrant that you are not subject to an employment agreement or restrictive covenant preventing full performance of your duties to the Company. You agree not to make any unauthorized disclosure or use, on behalf of the Company, of any confidential information belonging to any of your former employers. You also represent that you are not in unauthorized possession of any materials containing a third party’s confidential and proprietary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During your employment you shall be subject to and covered by a written indemnification agreement between you and the Company in the form applicable to the Company’s executive officers, which form will be or may have already been provided to you prior to your start date (the “Indemnification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Matters; Withholding: All amounts payable to you by the Company will be subject to applicable tax withholding. Section 6(a) of the Severance Plan (“Application of Section 409A”) is hereby incorporated herein by reference (as are any defined terms from the Severance Plan used in such section) (with references to the “Plan” in such section amended to refer to this “Agreement” and references to “Participant” amended to refer to you).</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Governing Law: The validity, interpretation, construction and performance of this Agreement, and all acts and transactions pursuant hereto and the rights and obligations of the parties hereto shall be governed, construed and interpreted in accordance with the laws of State of Utah, without giving effect to principles of conflicts of law.</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Entire Agreement: You acknowledge and agree that as of your execution of this Agreement, your sole entitlement to any compensation or benefits from the Company will be as set forth in this Agreement. This Agreement, together with the Confidentiality Agreements, the Indemnification Agreement and the documents governing any equity awards granted to you, sets forth the entire agreement and understanding of the parties relating to the subject matter herein and supersedes all prior or contemporaneous discussions, understandings and agreements, whether oral or written, between you and the Company relating to the subject matter hereof. No amendment or modification to this Agreement shall be effective unless it is in writing and signed by an authorized officer of the Company and by you.</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Counterparts: This Agreement may be executed in any number of counterparts, each of which when so executed and delivered shall be deemed an original, and all of which together shall constitute one and the same agreement. Facsimile and electronic image signatures (including .pdf or any electronic signature complying with the U.S. federal ESIGN Act of 2000, Uniform Electronic Transactions Act or other applicable law) will be deemed an original and valid signature.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Please sign below and return this document via Adobe Sign. If you have any questions, please contact me directly. We look forward to working with you.</w:t>
      </w:r>
    </w:p>
    <w:p>
      <w:pPr>
        <w:pStyle w:val="TextBody"/>
        <w:bidi w:val="0"/>
        <w:spacing w:before="0" w:after="0"/>
        <w:jc w:val="left"/>
        <w:rPr/>
      </w:pPr>
      <w:r>
        <w:rPr/>
      </w:r>
    </w:p>
    <w:p>
      <w:pPr>
        <w:pStyle w:val="TextBody"/>
        <w:bidi w:val="0"/>
        <w:spacing w:before="181" w:after="283"/>
        <w:jc w:val="left"/>
        <w:rPr/>
      </w:pPr>
      <w:r>
        <w:rPr/>
      </w:r>
    </w:p>
    <w:tbl>
      <w:tblPr>
        <w:tblW w:w="6448" w:type="dxa"/>
        <w:jc w:val="left"/>
        <w:tblInd w:w="0" w:type="dxa"/>
        <w:tblLayout w:type="fixed"/>
        <w:tblCellMar>
          <w:top w:w="28" w:type="dxa"/>
          <w:left w:w="28" w:type="dxa"/>
          <w:bottom w:w="28" w:type="dxa"/>
          <w:right w:w="28" w:type="dxa"/>
        </w:tblCellMar>
      </w:tblPr>
      <w:tblGrid>
        <w:gridCol w:w="743"/>
        <w:gridCol w:w="653"/>
        <w:gridCol w:w="658"/>
        <w:gridCol w:w="109"/>
        <w:gridCol w:w="109"/>
        <w:gridCol w:w="109"/>
        <w:gridCol w:w="580"/>
        <w:gridCol w:w="580"/>
        <w:gridCol w:w="580"/>
        <w:gridCol w:w="362"/>
        <w:gridCol w:w="362"/>
        <w:gridCol w:w="362"/>
        <w:gridCol w:w="362"/>
        <w:gridCol w:w="362"/>
        <w:gridCol w:w="517"/>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accept the above terms of employment.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 CARPENTER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ADRIANNE LEE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4/23/2025</w:t>
            </w:r>
          </w:p>
        </w:tc>
      </w:tr>
      <w:tr>
        <w:trPr/>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 Carpenter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Adrianne Lee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 of HR &amp;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21" w:after="283"/>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 – PROPERTY OF BEYOND, INC. the existence and terms of this letter and all related communications are confidential and intended only for your personal and family consideration.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9" w:after="283"/>
        <w:jc w:val="right"/>
        <w:rPr>
          <w:rFonts w:ascii="Times New Roman;sans-serif" w:hAnsi="Times New Roman;sans-serif"/>
          <w:b/>
          <w:color w:val="000000"/>
          <w:sz w:val="20"/>
        </w:rPr>
      </w:pPr>
      <w:r>
        <w:rPr>
          <w:rFonts w:ascii="Times New Roman;sans-serif" w:hAnsi="Times New Roman;sans-serif"/>
          <w:b/>
          <w:color w:val="000000"/>
          <w:sz w:val="20"/>
        </w:rPr>
        <w:t>Exhibit 10.2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March 10, 2025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Dear Leah,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pleased to offer you the position of Chief Accounting Officer with Beyond, Inc. (“Beyond”).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your compensation, benefits, and the terms and conditions of our employment offer: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Start Date: March 10, 2025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Status: Full time, Exempt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Cash Salary Compensation: $12,500 per pay period, </w:t>
      </w:r>
      <w:r>
        <w:rPr>
          <w:rFonts w:ascii="Times New Roman;sans-serif" w:hAnsi="Times New Roman;sans-serif"/>
          <w:b/>
          <w:color w:val="000000"/>
          <w:sz w:val="20"/>
        </w:rPr>
        <w:t>($325,000 annually)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order to receive the full annual amount of </w:t>
      </w:r>
      <w:r>
        <w:rPr>
          <w:rFonts w:ascii="Times New Roman;sans-serif" w:hAnsi="Times New Roman;sans-serif"/>
          <w:b/>
          <w:color w:val="000000"/>
          <w:sz w:val="20"/>
        </w:rPr>
        <w:t>$325,000</w:t>
      </w:r>
      <w:r>
        <w:rPr>
          <w:rFonts w:ascii="Times New Roman;sans-serif" w:hAnsi="Times New Roman;sans-serif"/>
          <w:b w:val="false"/>
          <w:color w:val="000000"/>
          <w:sz w:val="20"/>
        </w:rPr>
        <w:t>, you must be employed for all 26 pay periods.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Cash Bonus Plan: In addition to your base salary, you may be eligible to earn, for each fiscal year at the Company ending during the term of your employment with the Company, an annual cash bonus, as approved from time to time by the Company’s Board of Directors or Compensation Committee. Your “target” annual bonus for 2025 is currently set at 50% of your base salary. </w:t>
      </w:r>
      <w:r>
        <w:rPr>
          <w:rFonts w:ascii="Times New Roman;sans-serif" w:hAnsi="Times New Roman;sans-serif"/>
          <w:b/>
          <w:color w:val="000000"/>
          <w:sz w:val="20"/>
        </w:rPr>
        <w:t xml:space="preserve">($162,500) </w:t>
      </w:r>
      <w:r>
        <w:rPr>
          <w:rFonts w:ascii="Times New Roman;sans-serif" w:hAnsi="Times New Roman;sans-serif"/>
          <w:b w:val="false"/>
          <w:color w:val="000000"/>
          <w:sz w:val="20"/>
        </w:rPr>
        <w:t>Your actual annual bonus will be determined on the basis of such Company and individual performance criteria established by the Board of Directors or Compensation Committee in accordance with the terms and conditions of any bonus plan adopted from time to time. Your annual bonus will be paid between January 1 and April 1 of the calendar year following the year to which it relates. Except as otherwise provided in the Severance Plan (as defined below), you must be employed by the Company on the date of payment of such annual bonus in order to be eligible to receive such annual bonus.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Equity: We will propose that you receive an incremental equity award of </w:t>
      </w:r>
      <w:r>
        <w:rPr>
          <w:rFonts w:ascii="Times New Roman;sans-serif" w:hAnsi="Times New Roman;sans-serif"/>
          <w:b/>
          <w:color w:val="000000"/>
          <w:sz w:val="20"/>
        </w:rPr>
        <w:t xml:space="preserve">$175,000 </w:t>
      </w:r>
      <w:r>
        <w:rPr>
          <w:rFonts w:ascii="Times New Roman;sans-serif" w:hAnsi="Times New Roman;sans-serif"/>
          <w:b w:val="false"/>
          <w:color w:val="000000"/>
          <w:sz w:val="20"/>
        </w:rPr>
        <w:t>comprised of $31,250 of restricted stock units (“RSUs”) and $143,750 of performance stock units (“PSUs”) under the terms of the Company’s 2005 Equity Incentive Plan (“EIP”) and the forms of the applicable award agreements which set forth the service periods and performance targets required for the awards to vest, which RSUs and PSUs will be subject to and conditional upon all required targets being achieved and necessary corporate approvals being obtained. (Incremental to the $225,000 of equity awards granted on 2/4/2025) Consistent with the EIP you may be eligible for refresh awards to be approved by the Board or Compensation Committee at their discretion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Report to: Adrianne Lee, President &amp; CFO of Beyond Inc.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Work Location: Florida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Flexible Time Away: Unaccrued, paid time off to be used (without set limits) for purposes such as vacation, relaxation, personal or family needs, and for absences governed by Company leave policies. (subject to the limits specified in those policies)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You will continue to be eligible to participate in the following benefits.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Medical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Dental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Vision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Supplemental Life and AD&amp;D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Voluntary Accident, Critical illness, Hospital Indemnity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Flexible Spending Accounts (FSA)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Health Savings Account (HSA)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Prepaid Legal Services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Basic Life and AD&amp;D- Company Paid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Short/Long Term Disability- Company Paid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Employee Assistance Program (EAP)- Company Paid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Employee Wellness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Welcome Rewards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You will continue to be eligible to participate in the Beyond 401(k) Plan pursuant to the terms and conditions of such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At-Will Employment; Severance Plan: Beyond, Inc. is an at-will employer. Nothing in this offer shall limit the right of Beyond, Inc. or yourself to terminate the employment relationship. Notwithstanding the foregoing, you may be entitled to severance upon certain qualifying terminations of employment, as outlined in the Company’s Key Employee Severance Plan (the “Severance Plan”). A copy of the Severance Plan is attached to this Agreement. By signing this Agreement, you acknowledge your designation as a Tier 3 Participant (as defined in the Severance Plan) in the Severance Plan and you’re understanding that you agree to all the terms and conditions of the Severance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Confidentiality Information Agreement and Company Policies: In connection with your employment with the Company, you will receive and have access to Company confidential information and trade secrets. Accordingly, as a condition to your employment with the Company, you agree to continue complying with your obligations set out in the Company’s standard form of Employee Confidentiality, Confidential Information and Invention Assignment and Arbitration Agreement (the “Confidentiality Agreements”), previously entered into by you. In addition, you are required to abide by the Company’s policies and procedures (including but not limited to the Company’s employee handbook), as adopted or modified from time to time within the Company’s discretion, and acknowledge in writing that you have read and will comply with such policies and procedures (and provide additional such acknowledgements as such policies and procedures may be modified from time to time). The Company may modify, revoke, suspend or terminate any of the policies and/or procedures at any time, with or without notice.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Nothing in this Agreement or the Confidentiality Agreements shall prevent you from (i) communicating directly with, cooperating with, or providing information to, or receiving financial awards from, any federal, state or local government agency, including without limitation the U.S. Securities and Exchange Commission, the U.S. Commodity Futures Trading Commission, the U.S. Department of Justice, the U.S. Equal Employment Opportunity Commission, or the U.S. National Labor Relations Board, without notifying or seeking permission from the Company, (ii) exercising any rights you may have under Section 7 of the U.S. National Labor Relations Act, such as the right to engage in concerted activity, including collective action or discussion concerning wages or working conditions, or (iii) discussing or disclosing information about unlawful acts in the workplace, such as harassment or discrimination based on a protected characteristic or any other conduct that you have reason to believe is unlawful. In addition, you acknowledge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Protection of Third-Party Information: By signing this Agreement, you are representing that you have full authority to accept this position and perform the duties of the position without conflict with any other obligations and that you are not involved in any situation that might create, or appear to create, a conflict of interest with respect to your loyalty to or duties for the Company. You specifically warrant that you are not subject to an employment agreement or restrictive covenant preventing full performance of your duties to the Company. You agree not to make any unauthorized disclosure or use, on behalf of the Company, of any confidential information belonging to any of your former employers. You also represent that you are not in unauthorized possession of any materials containing a third party’s confidential and proprietary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During your employment you shall be subject to and covered by a written indemnification agreement between you and the Company in the form applicable to the Company’s executive officers, which form will be provided to you prior to your start date (the “Indemnification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Matters; Withholding: All amounts payable to you by the Company will be subject to applicable tax withholding. Section 6(a) of the Severance Plan (“Application of Section 409A”) is hereby incorporated herein by reference (as are any defined terms from the Severance Plan used in such section) (with references to the “Plan” in such section amended to refer to this “Agreement” and references to “Participant” amended to refer to you).</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Governing Law: The validity, interpretation, construction and performance of this Agreement, and all acts and transactions pursuant hereto and the rights and obligations of the parties hereto shall be governed, construed and interpreted in accordance with the laws of State of Florida, without giving effect to principles of conflicts of law.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Entire Agreement: You acknowledge and agree that as of your execution of this Agreement, your sole entitlement to any compensation or benefits from the Company will be as set forth in this Agreement. This Agreement, together with the Confidentiality Agreements, the Indemnification Agreement and the documents governing any equity awards granted to you, sets forth the entire agreement and understanding of the parties relating to the subject matter herein and supersedes all prior or contemporaneous discussions, understandings and agreements, whether oral or written, between you and the Company relating to the subject matter hereof. No amendment or modification to this Agreement shall be effective unless it is in writing and signed by an authorized officer of the Company and by you.</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Counterparts: This Agreement may be executed in any number of counterparts, each of which when so executed and delivered shall be deemed an original, and all of which together shall constitute one and the same agreement. Facsimile and electronic image signatures (including .pdf or any electronic signature complying with the U.S. federal ESIGN Act of 2000, Uniform Electronic Transactions Act or other applicable law) will be deemed an original and valid signature.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Please sign below and return this document via Adobe Sign. If you have any questions, please contact me directly. We look forward to working with you.</w:t>
      </w:r>
    </w:p>
    <w:p>
      <w:pPr>
        <w:pStyle w:val="TextBody"/>
        <w:bidi w:val="0"/>
        <w:spacing w:before="0" w:after="0"/>
        <w:jc w:val="left"/>
        <w:rPr/>
      </w:pPr>
      <w:r>
        <w:rPr/>
      </w:r>
    </w:p>
    <w:p>
      <w:pPr>
        <w:pStyle w:val="TextBody"/>
        <w:bidi w:val="0"/>
        <w:spacing w:before="181" w:after="283"/>
        <w:jc w:val="left"/>
        <w:rPr/>
      </w:pPr>
      <w:r>
        <w:rPr/>
      </w:r>
    </w:p>
    <w:tbl>
      <w:tblPr>
        <w:tblW w:w="6418" w:type="dxa"/>
        <w:jc w:val="left"/>
        <w:tblInd w:w="0" w:type="dxa"/>
        <w:tblLayout w:type="fixed"/>
        <w:tblCellMar>
          <w:top w:w="28" w:type="dxa"/>
          <w:left w:w="28" w:type="dxa"/>
          <w:bottom w:w="28" w:type="dxa"/>
          <w:right w:w="28" w:type="dxa"/>
        </w:tblCellMar>
      </w:tblPr>
      <w:tblGrid>
        <w:gridCol w:w="743"/>
        <w:gridCol w:w="653"/>
        <w:gridCol w:w="658"/>
        <w:gridCol w:w="109"/>
        <w:gridCol w:w="109"/>
        <w:gridCol w:w="109"/>
        <w:gridCol w:w="570"/>
        <w:gridCol w:w="570"/>
        <w:gridCol w:w="570"/>
        <w:gridCol w:w="362"/>
        <w:gridCol w:w="362"/>
        <w:gridCol w:w="362"/>
        <w:gridCol w:w="362"/>
        <w:gridCol w:w="362"/>
        <w:gridCol w:w="517"/>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accept the above terms of employment.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 CARPENTER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LEAH PUTNAM</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3/18/2025</w:t>
            </w:r>
          </w:p>
        </w:tc>
      </w:tr>
      <w:tr>
        <w:trPr/>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 Carpenter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Leah Putnam</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 of HR &amp;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21" w:after="283"/>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 – PROPERTY OF BEYOND, INC. the existence and terms of this letter and all related communications are confidential and intended only for your personal and family consideration.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9" w:after="283"/>
        <w:jc w:val="right"/>
        <w:rPr>
          <w:rFonts w:ascii="Times New Roman;sans-serif" w:hAnsi="Times New Roman;sans-serif"/>
          <w:b/>
          <w:color w:val="000000"/>
          <w:sz w:val="20"/>
        </w:rPr>
      </w:pPr>
      <w:r>
        <w:rPr>
          <w:rFonts w:ascii="Times New Roman;sans-serif" w:hAnsi="Times New Roman;sans-serif"/>
          <w:b/>
          <w:color w:val="000000"/>
          <w:sz w:val="20"/>
        </w:rPr>
        <w:t>Exhibit 10.3</w:t>
      </w:r>
    </w:p>
    <w:p>
      <w:pPr>
        <w:pStyle w:val="TextBody"/>
        <w:bidi w:val="0"/>
        <w:spacing w:before="241"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10,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Dear Alex,</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pleased to offer you the position of Chief Operating Officer with Beyond, Inc. (“Beyond”).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your compensation, benefits, and the terms and conditions of our employment offer: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Start Date: March 10, 2025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Employment Status: Full time, Exempt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Cash Salary Compensation: $13,461.54 per pay period, </w:t>
      </w:r>
      <w:r>
        <w:rPr>
          <w:rFonts w:ascii="Times New Roman;sans-serif" w:hAnsi="Times New Roman;sans-serif"/>
          <w:b/>
          <w:color w:val="000000"/>
          <w:sz w:val="20"/>
        </w:rPr>
        <w:t>($350,000 annually)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order to receive the full annual amount of </w:t>
      </w:r>
      <w:r>
        <w:rPr>
          <w:rFonts w:ascii="Times New Roman;sans-serif" w:hAnsi="Times New Roman;sans-serif"/>
          <w:b/>
          <w:color w:val="000000"/>
          <w:sz w:val="20"/>
        </w:rPr>
        <w:t>$350,000</w:t>
      </w:r>
      <w:r>
        <w:rPr>
          <w:rFonts w:ascii="Times New Roman;sans-serif" w:hAnsi="Times New Roman;sans-serif"/>
          <w:b w:val="false"/>
          <w:color w:val="000000"/>
          <w:sz w:val="20"/>
        </w:rPr>
        <w:t>, you must be employed for all 26 pay periods.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Cash Bonus Plan: In addition to your base salary, you may be eligible to earn, for each fiscal year at the Company ending during the term of your employment with the Company, an annual cash bonus, as approved from time to time by the Company’s Board of Directors or Compensation Committee. Your “target” annual bonus for 2025 is currently set at 50% of your base salary. </w:t>
      </w:r>
      <w:r>
        <w:rPr>
          <w:rFonts w:ascii="Times New Roman;sans-serif" w:hAnsi="Times New Roman;sans-serif"/>
          <w:b/>
          <w:color w:val="000000"/>
          <w:sz w:val="20"/>
        </w:rPr>
        <w:t xml:space="preserve">($175,000) </w:t>
      </w:r>
      <w:r>
        <w:rPr>
          <w:rFonts w:ascii="Times New Roman;sans-serif" w:hAnsi="Times New Roman;sans-serif"/>
          <w:b w:val="false"/>
          <w:color w:val="000000"/>
          <w:sz w:val="20"/>
        </w:rPr>
        <w:t>Your actual annual bonus will be determined on the basis of such Company and individual performance criteria established by the Board of Directors or Compensation Committee in accordance with the terms and conditions of any bonus plan adopted from time to time. Your annual bonus will be paid between January 1 and April 1 of the calendar year following the year to which it relates. Except as otherwise provided in the Severance Plan (as defined below), you must be employed by the Company on the date of payment of such annual bonus in order to be eligible to receive such annual bonus.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Equity: We will propose that you receive an incremental equity award of </w:t>
      </w:r>
      <w:r>
        <w:rPr>
          <w:rFonts w:ascii="Times New Roman;sans-serif" w:hAnsi="Times New Roman;sans-serif"/>
          <w:b/>
          <w:color w:val="000000"/>
          <w:sz w:val="20"/>
        </w:rPr>
        <w:t xml:space="preserve">$200,000 </w:t>
      </w:r>
      <w:r>
        <w:rPr>
          <w:rFonts w:ascii="Times New Roman;sans-serif" w:hAnsi="Times New Roman;sans-serif"/>
          <w:b w:val="false"/>
          <w:color w:val="000000"/>
          <w:sz w:val="20"/>
        </w:rPr>
        <w:t>comprised of $100,000 of restricted stock units (“RSUs”) and $100,000 of performance stock units (“PSUs”) under the terms of the Company’s 2005 Equity Incentive Plan (“EIP”) and the forms of the applicable award agreements which set forth the service periods and performance targets required for the awards to vest, which RSUs and PSUs will be subject to and conditional upon all required targets being achieved and necessary corporate approvals being obtained. (Incremental to the $400,000 of equity awards granted on 2/4/2025) Consistent with the EIP you may be eligible for refresh awards to be approved by the Board or Compensation Committee at their discretion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Report to: Adrianne Lee, President &amp; CFO of Beyond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Work Location: Beyond’s corporate offices: Salt Lake City, Utah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Flexible Time Away: Unaccrued, paid time off to be used (without set limits) for purposes such as vacation, relaxation, personal or family needs, and for absences governed by Company leave policies. (subject to the limits specified in those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will continue to be eligible to participate in the following benefits.</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Medical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Dental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Vision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Supplemental Life and AD&amp;D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Voluntary Accident, Critical illness, Hospital Indemnity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Flexible Spending Accounts (FSA)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Health Savings Account (HSA)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Prepaid Legal Services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Basic Life and AD&amp;D- Company Paid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Short/Long Term Disability- Company Paid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Employee Assistance Program (EAP)- Company Paid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Employee Wellness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Welcome Rewards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will continue to be eligible to participate in the Beyond 401(k) Plan pursuant to the terms and conditions of such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At-Will Employment; Severance Plan: Beyond, Inc. is an at-will employer. Nothing in this offer shall limit the right of Beyond, Inc. or yourself to terminate the employment relationship. Notwithstanding the foregoing, you may be entitled to severance upon certain qualifying terminations of employment, as outlined in the Company’s Key Employee Severance Plan (the “Severance Plan”). You will continue your designation as a Tier 3 Participant (as defined in the Severance Plan) in the Severance Plan and you’re understanding that you agree to all the terms and conditions of the Severance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Confidentiality Information Agreement and Company Policies: In connection with your employment with the Company, you will receive and have access to Company confidential information and trade secrets. Accordingly, as a condition to your employment with the Company, you agree to continue complying with your obligations set out in the Company’s standard form of Employee Confidentiality, Confidential Information and Invention Assignment and Arbitration Agreement (the “Confidentiality Agreements”), previously entered into by you. In addition, you are required to abide by the Company’s policies and procedures (including but not limited to the Company’s employee handbook), as adopted or modified from time to time within the Company’s discretion, and acknowledge in writing that you have read and will comply with such policies and procedures (and provide additional such acknowledgements as such policies and procedures may be modified from time to time). The Company may modify, revoke, suspend or terminate any of the policies and/or procedures at any time, with or without notice.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Nothing in this Agreement or the Confidentiality Agreements shall prevent you from (i) communicating directly with, cooperating with, or providing information to, or receiving financial awards from, any federal, state or local government agency, including without limitation the U.S. Securities and Exchange Commission, the U.S. Commodity Futures Trading Commission, the U.S. Department of Justice, the U.S. Equal Employment Opportunity Commission, or the U.S.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National Labor Relations Board, without notifying or seeking permission from the Company, (ii) exercising any rights you may have under Section 7 of the U.S. National Labor Relations Act, such as the right to engage in concerted activity, including collective action or discussion concerning wages or working conditions, or (iii) discussing or disclosing information about unlawful acts in the workplace, such as harassment or discrimination based on a protected characteristic or any other conduct that you have reason to believe is unlawful. In addition, you acknowledge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Protection of Third-Party Information: By signing this Agreement, you are representing that you have full authority to accept this position and perform the duties of the position without conflict with any other obligations and that you are not involved in any situation that might create, or appear to create, a conflict of interest with respect to your loyalty to or duties for the Company. You specifically warrant that you are not subject to an employment agreement or restrictive covenant preventing full performance of your duties to the Company. You agree not to make any unauthorized disclosure or use, on behalf of the Company, of any confidential information belonging to any of your former employers. You also represent that you are not in unauthorized possession of any materials containing a third party’s confidential and proprietary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During your employment you shall be subject to and covered by a written indemnification agreement between you and the Company in the form applicable to the Company’s executive officers, which form will be provided to you prior to your start date (the “Indemnification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Matters; Withholding: All amounts payable to you by the Company will be subject to applicable tax withholding. Section 6(a) of the Severance Plan (“Application of Section 409A”) is hereby incorporated herein by reference (as are any defined terms from the Severance Plan used in such section) (with references to the “Plan” in such section amended to refer to this “Agreement” and references to “Participant” amended to refer to you).</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Governing Law: The validity, interpretation, construction and performance of this Agreement, and all acts and transactions pursuant hereto and the rights and obligations of the parties hereto shall be governed, construed and interpreted in accordance with the laws of State of Utah, without giving effect to principles of conflicts of law.</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Entire Agreement: You acknowledge and agree that as of your execution of this Agreement, your sole entitlement to any compensation or benefits from the Company will be as set forth in this Agreement. This Agreement, together with the Confidentiality Agreements, the Indemnification Agreement and the documents governing any equity awards granted to you, sets forth the entire agreement and understanding of the parties relating to the subject matter herein and supersedes all prior or contemporaneous discussions, understandings and agreements, whether oral or written, between you and the Company relating to the subject matter hereof. No amendment or modification to this Agreement shall be effective unless it is in writing and signed by an authorized officer of the Company and by you.</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Counterparts: This Agreement may be executed in any number of counterparts, each of which when so executed and delivered shall be deemed an original, and all of which together shall constitute one and the same agreement. Facsimile and electronic image signatures (including .pdf or any electronic signature complying with the U.S. federal ESIGN Act of 2000, Uniform Electronic Transactions Act or other applicable law) will be deemed an original and valid signature.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Please sign below and return this document via Adobe Sign. If you have any questions, please contact me directly. We look forward to working with you.</w:t>
      </w:r>
    </w:p>
    <w:p>
      <w:pPr>
        <w:pStyle w:val="TextBody"/>
        <w:bidi w:val="0"/>
        <w:spacing w:before="0" w:after="0"/>
        <w:jc w:val="left"/>
        <w:rPr/>
      </w:pPr>
      <w:r>
        <w:rPr/>
      </w:r>
    </w:p>
    <w:p>
      <w:pPr>
        <w:pStyle w:val="TextBody"/>
        <w:bidi w:val="0"/>
        <w:spacing w:before="181" w:after="283"/>
        <w:jc w:val="left"/>
        <w:rPr/>
      </w:pPr>
      <w:r>
        <w:rPr/>
      </w:r>
    </w:p>
    <w:tbl>
      <w:tblPr>
        <w:tblW w:w="6418" w:type="dxa"/>
        <w:jc w:val="left"/>
        <w:tblInd w:w="0" w:type="dxa"/>
        <w:tblLayout w:type="fixed"/>
        <w:tblCellMar>
          <w:top w:w="28" w:type="dxa"/>
          <w:left w:w="28" w:type="dxa"/>
          <w:bottom w:w="28" w:type="dxa"/>
          <w:right w:w="28" w:type="dxa"/>
        </w:tblCellMar>
      </w:tblPr>
      <w:tblGrid>
        <w:gridCol w:w="743"/>
        <w:gridCol w:w="653"/>
        <w:gridCol w:w="658"/>
        <w:gridCol w:w="109"/>
        <w:gridCol w:w="109"/>
        <w:gridCol w:w="109"/>
        <w:gridCol w:w="570"/>
        <w:gridCol w:w="570"/>
        <w:gridCol w:w="570"/>
        <w:gridCol w:w="362"/>
        <w:gridCol w:w="362"/>
        <w:gridCol w:w="362"/>
        <w:gridCol w:w="362"/>
        <w:gridCol w:w="362"/>
        <w:gridCol w:w="517"/>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accept the above terms of employment.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 CARPENTER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THOMAS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3/18/2025</w:t>
            </w:r>
          </w:p>
        </w:tc>
      </w:tr>
      <w:tr>
        <w:trPr/>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 Carpenter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Thomas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 of HR &amp;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21" w:after="283"/>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 – PROPERTY OF BEYOND, INC. the existence and terms of this letter and all related communications are confidential and intended only for your personal and family consideration.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Marcus A. Lemonis,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Beyond, Inc.;</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698"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128"/>
        <w:gridCol w:w="1128"/>
        <w:gridCol w:w="159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MARCUS A. LEMONIS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Marcus A. Lemonis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Chairman of the Board of Directors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Adrianne B. Lee,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Beyond, Inc.;</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993"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921"/>
        <w:gridCol w:w="921"/>
        <w:gridCol w:w="130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Marcus A. Lemonis, certify, pursuant to 18 U.S.C. Section 1350, as adopted pursuant to Section 906 of the Sarbanes-Oxley Act of 2002, as amended, that the Quarterly Report on Form 10-Q of Beyond, Inc. for the quarter ended March 31, 2025 (the "Report") fully complies with the requirements of Section 13(a) or 15(d) of the Securities Exchange Act of 1934, as amended, and that information contained in such Report fairly presents in all material respects the financial condition and results of operations of Beyond, Inc.</w:t>
      </w:r>
    </w:p>
    <w:p>
      <w:pPr>
        <w:pStyle w:val="TextBody"/>
        <w:bidi w:val="0"/>
        <w:spacing w:lineRule="auto" w:line="288" w:before="0" w:after="0"/>
        <w:jc w:val="left"/>
        <w:rPr>
          <w:color w:val="000000"/>
        </w:rPr>
      </w:pPr>
      <w:r>
        <w:rPr>
          <w:color w:val="000000"/>
        </w:rPr>
        <w:t> </w:t>
      </w:r>
    </w:p>
    <w:tbl>
      <w:tblPr>
        <w:tblW w:w="5698"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128"/>
        <w:gridCol w:w="1128"/>
        <w:gridCol w:w="159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MARCUS A. LEMONIS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Marcus A. Lemonis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Chairman of the Board of Directors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864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ind w:left="0" w:right="0" w:firstLine="936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Adrianne B. Lee, certify, pursuant to 18 U.S.C. Section 1350, as adopted pursuant to Section 906 of the Sarbanes-Oxley Act of 2002, as amended, that the Quarterly Report on Form 10-Q of Beyond, Inc. for the quarter ended March 31, 2025 (the "Report") fully complies with the requirements of Section 13(a) or 15(d) of the Securities Exchange Act of 1934, as amended, and that information contained in such Report fairly presents in all material respects the financial condition and results of operations of Beyond, Inc.</w:t>
      </w:r>
    </w:p>
    <w:p>
      <w:pPr>
        <w:pStyle w:val="TextBody"/>
        <w:bidi w:val="0"/>
        <w:spacing w:lineRule="auto" w:line="288" w:before="0" w:after="0"/>
        <w:jc w:val="left"/>
        <w:rPr>
          <w:color w:val="000000"/>
        </w:rPr>
      </w:pPr>
      <w:r>
        <w:rPr>
          <w:color w:val="000000"/>
        </w:rPr>
        <w:t> </w:t>
      </w:r>
    </w:p>
    <w:tbl>
      <w:tblPr>
        <w:tblW w:w="4993"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921"/>
        <w:gridCol w:w="921"/>
        <w:gridCol w:w="130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Adrianne B.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30713/000114036123029505/brhc20054372_ex2-1.htm" TargetMode="External"/><Relationship Id="rId3" Type="http://schemas.openxmlformats.org/officeDocument/2006/relationships/hyperlink" Target="https://www.sec.gov/Archives/edgar/data/1130713/000113071314000051/ex-31certificateofincorpor.htm" TargetMode="External"/><Relationship Id="rId4" Type="http://schemas.openxmlformats.org/officeDocument/2006/relationships/hyperlink" Target="https://www.sec.gov/Archives/edgar/data/1130713/000114036123051490/ef20013966_ex3-2.htm" TargetMode="External"/><Relationship Id="rId5" Type="http://schemas.openxmlformats.org/officeDocument/2006/relationships/hyperlink" Target="https://www.sec.gov/Archives/edgar/data/1130713/000113071324000037/ex31.htm" TargetMode="External"/><Relationship Id="rId6" Type="http://schemas.openxmlformats.org/officeDocument/2006/relationships/hyperlink" Target="https://www.sec.gov/Archives/edgar/data/1130713/000113071324000037/ex32.htm" TargetMode="External"/><Relationship Id="rId7" Type="http://schemas.openxmlformats.org/officeDocument/2006/relationships/hyperlink" Target="https://www.sec.gov/Archives/edgar/data/1130713/000114036124029414/ny20030476x1_ex4-3.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20918</Words>
  <Characters>115226</Characters>
  <CharactersWithSpaces>135379</CharactersWithSpaces>
  <Paragraphs>1900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