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22" w:lineRule="exact"/>
        <w:rPr>
          <w:sz w:val="24"/>
          <w:szCs w:val="24"/>
          <w:color w:val="auto"/>
        </w:rPr>
      </w:pPr>
    </w:p>
    <w:p>
      <w:pPr>
        <w:ind w:left="440" w:hanging="311"/>
        <w:spacing w:after="0"/>
        <w:tabs>
          <w:tab w:leader="none" w:pos="4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20"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2023</w:t>
      </w:r>
    </w:p>
    <w:p>
      <w:pPr>
        <w:spacing w:after="0" w:line="144"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30" w:lineRule="exact"/>
        <w:rPr>
          <w:sz w:val="24"/>
          <w:szCs w:val="24"/>
          <w:color w:val="auto"/>
        </w:rPr>
      </w:pPr>
    </w:p>
    <w:p>
      <w:pPr>
        <w:ind w:left="440" w:hanging="310"/>
        <w:spacing w:after="0"/>
        <w:tabs>
          <w:tab w:leader="none" w:pos="44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50" w:lineRule="exact"/>
        <w:rPr>
          <w:sz w:val="24"/>
          <w:szCs w:val="24"/>
          <w:color w:val="auto"/>
        </w:rPr>
      </w:pPr>
    </w:p>
    <w:tbl>
      <w:tblPr>
        <w:tblLayout w:type="fixed"/>
        <w:tblInd w:w="660" w:type="dxa"/>
        <w:tblCellMar>
          <w:top w:w="0" w:type="dxa"/>
          <w:left w:w="0" w:type="dxa"/>
          <w:bottom w:w="0" w:type="dxa"/>
          <w:right w:w="0" w:type="dxa"/>
        </w:tblCellMar>
      </w:tblPr>
      <w:tr>
        <w:trPr>
          <w:trHeight w:val="178"/>
        </w:trPr>
        <w:tc>
          <w:tcPr>
            <w:tcW w:w="1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900" w:type="dxa"/>
            <w:vAlign w:val="bottom"/>
            <w:gridSpan w:val="4"/>
          </w:tcPr>
          <w:p>
            <w:pPr>
              <w:ind w:left="500"/>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w:t>
            </w:r>
          </w:p>
        </w:tc>
        <w:tc>
          <w:tcPr>
            <w:tcW w:w="2060" w:type="dxa"/>
            <w:vAlign w:val="bottom"/>
          </w:tcPr>
          <w:p>
            <w:pPr>
              <w:spacing w:after="0"/>
              <w:rPr>
                <w:sz w:val="15"/>
                <w:szCs w:val="15"/>
                <w:color w:val="auto"/>
              </w:rPr>
            </w:pPr>
          </w:p>
        </w:tc>
      </w:tr>
      <w:tr>
        <w:trPr>
          <w:trHeight w:val="314"/>
        </w:trPr>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40" w:type="dxa"/>
            <w:vAlign w:val="bottom"/>
            <w:gridSpan w:val="5"/>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rPr>
              <w:t>Commission file number: 001-41850</w:t>
            </w:r>
          </w:p>
        </w:tc>
        <w:tc>
          <w:tcPr>
            <w:tcW w:w="2060" w:type="dxa"/>
            <w:vAlign w:val="bottom"/>
          </w:tcPr>
          <w:p>
            <w:pPr>
              <w:spacing w:after="0"/>
              <w:rPr>
                <w:sz w:val="24"/>
                <w:szCs w:val="24"/>
                <w:color w:val="auto"/>
              </w:rPr>
            </w:pPr>
          </w:p>
        </w:tc>
      </w:tr>
      <w:tr>
        <w:trPr>
          <w:trHeight w:val="524"/>
        </w:trPr>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40" w:type="dxa"/>
            <w:vAlign w:val="bottom"/>
            <w:gridSpan w:val="5"/>
          </w:tcPr>
          <w:p>
            <w:pPr>
              <w:jc w:val="center"/>
              <w:ind w:right="333"/>
              <w:spacing w:after="0"/>
              <w:rPr>
                <w:sz w:val="20"/>
                <w:szCs w:val="20"/>
                <w:color w:val="auto"/>
              </w:rPr>
            </w:pPr>
            <w:r>
              <w:rPr>
                <w:rFonts w:ascii="Times New Roman" w:cs="Times New Roman" w:eastAsia="Times New Roman" w:hAnsi="Times New Roman"/>
                <w:sz w:val="27"/>
                <w:szCs w:val="27"/>
                <w:b w:val="1"/>
                <w:bCs w:val="1"/>
                <w:color w:val="auto"/>
              </w:rPr>
              <w:t>BEYOND, INC.</w:t>
            </w:r>
          </w:p>
        </w:tc>
        <w:tc>
          <w:tcPr>
            <w:tcW w:w="2060" w:type="dxa"/>
            <w:vAlign w:val="bottom"/>
          </w:tcPr>
          <w:p>
            <w:pPr>
              <w:spacing w:after="0"/>
              <w:rPr>
                <w:sz w:val="24"/>
                <w:szCs w:val="24"/>
                <w:color w:val="auto"/>
              </w:rPr>
            </w:pPr>
          </w:p>
        </w:tc>
      </w:tr>
      <w:tr>
        <w:trPr>
          <w:trHeight w:val="174"/>
        </w:trPr>
        <w:tc>
          <w:tcPr>
            <w:tcW w:w="1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40" w:type="dxa"/>
            <w:vAlign w:val="bottom"/>
            <w:gridSpan w:val="5"/>
          </w:tcPr>
          <w:p>
            <w:pPr>
              <w:jc w:val="center"/>
              <w:ind w:right="373"/>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tc>
        <w:tc>
          <w:tcPr>
            <w:tcW w:w="2060" w:type="dxa"/>
            <w:vAlign w:val="bottom"/>
          </w:tcPr>
          <w:p>
            <w:pPr>
              <w:spacing w:after="0"/>
              <w:rPr>
                <w:sz w:val="15"/>
                <w:szCs w:val="15"/>
                <w:color w:val="auto"/>
              </w:rPr>
            </w:pPr>
          </w:p>
        </w:tc>
      </w:tr>
      <w:tr>
        <w:trPr>
          <w:trHeight w:val="301"/>
        </w:trPr>
        <w:tc>
          <w:tcPr>
            <w:tcW w:w="3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87-0634302</w:t>
            </w:r>
          </w:p>
        </w:tc>
      </w:tr>
      <w:tr>
        <w:trPr>
          <w:trHeight w:val="198"/>
        </w:trPr>
        <w:tc>
          <w:tcPr>
            <w:tcW w:w="350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60" w:type="dxa"/>
            <w:vAlign w:val="bottom"/>
            <w:gridSpan w:val="3"/>
          </w:tcPr>
          <w:p>
            <w:pPr>
              <w:ind w:left="860"/>
              <w:spacing w:after="0"/>
              <w:rPr>
                <w:sz w:val="20"/>
                <w:szCs w:val="20"/>
                <w:color w:val="auto"/>
              </w:rPr>
            </w:pPr>
            <w:r>
              <w:rPr>
                <w:rFonts w:ascii="Times New Roman" w:cs="Times New Roman" w:eastAsia="Times New Roman" w:hAnsi="Times New Roman"/>
                <w:sz w:val="13"/>
                <w:szCs w:val="13"/>
                <w:color w:val="auto"/>
              </w:rPr>
              <w:t>(I.R.S. Employer Identification Number)</w:t>
            </w:r>
          </w:p>
        </w:tc>
      </w:tr>
      <w:tr>
        <w:trPr>
          <w:trHeight w:val="193"/>
        </w:trPr>
        <w:tc>
          <w:tcPr>
            <w:tcW w:w="3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799 West Coliseum Way</w:t>
            </w: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203"/>
        </w:trPr>
        <w:tc>
          <w:tcPr>
            <w:tcW w:w="3500" w:type="dxa"/>
            <w:vAlign w:val="bottom"/>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Midvale, Utah</w:t>
            </w: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tcPr>
          <w:p>
            <w:pPr>
              <w:jc w:val="right"/>
              <w:ind w:right="1051"/>
              <w:spacing w:after="0"/>
              <w:rPr>
                <w:sz w:val="20"/>
                <w:szCs w:val="20"/>
                <w:color w:val="auto"/>
              </w:rPr>
            </w:pPr>
            <w:r>
              <w:rPr>
                <w:rFonts w:ascii="Times New Roman" w:cs="Times New Roman" w:eastAsia="Times New Roman" w:hAnsi="Times New Roman"/>
                <w:sz w:val="14"/>
                <w:szCs w:val="14"/>
                <w:b w:val="1"/>
                <w:bCs w:val="1"/>
                <w:color w:val="auto"/>
              </w:rPr>
              <w:t>84047</w:t>
            </w:r>
          </w:p>
        </w:tc>
      </w:tr>
      <w:tr>
        <w:trPr>
          <w:trHeight w:val="198"/>
        </w:trPr>
        <w:tc>
          <w:tcPr>
            <w:tcW w:w="350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(Zip code)</w:t>
            </w:r>
          </w:p>
        </w:tc>
      </w:tr>
      <w:tr>
        <w:trPr>
          <w:trHeight w:val="258"/>
        </w:trPr>
        <w:tc>
          <w:tcPr>
            <w:tcW w:w="17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0" w:type="dxa"/>
            <w:vAlign w:val="bottom"/>
            <w:gridSpan w:val="2"/>
          </w:tcPr>
          <w:p>
            <w:pPr>
              <w:jc w:val="center"/>
              <w:ind w:left="841"/>
              <w:spacing w:after="0"/>
              <w:rPr>
                <w:sz w:val="20"/>
                <w:szCs w:val="20"/>
                <w:color w:val="auto"/>
              </w:rPr>
            </w:pPr>
            <w:r>
              <w:rPr>
                <w:rFonts w:ascii="Times New Roman" w:cs="Times New Roman" w:eastAsia="Times New Roman" w:hAnsi="Times New Roman"/>
                <w:sz w:val="13"/>
                <w:szCs w:val="13"/>
                <w:b w:val="1"/>
                <w:bCs w:val="1"/>
                <w:color w:val="auto"/>
              </w:rPr>
              <w:t>(801) 947-3100</w:t>
            </w: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174"/>
        </w:trPr>
        <w:tc>
          <w:tcPr>
            <w:tcW w:w="1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40" w:type="dxa"/>
            <w:vAlign w:val="bottom"/>
            <w:gridSpan w:val="5"/>
          </w:tcPr>
          <w:p>
            <w:pPr>
              <w:jc w:val="center"/>
              <w:ind w:right="353"/>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tc>
        <w:tc>
          <w:tcPr>
            <w:tcW w:w="2060" w:type="dxa"/>
            <w:vAlign w:val="bottom"/>
          </w:tcPr>
          <w:p>
            <w:pPr>
              <w:spacing w:after="0"/>
              <w:rPr>
                <w:sz w:val="15"/>
                <w:szCs w:val="15"/>
                <w:color w:val="auto"/>
              </w:rPr>
            </w:pPr>
          </w:p>
        </w:tc>
      </w:tr>
      <w:tr>
        <w:trPr>
          <w:trHeight w:val="324"/>
        </w:trPr>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100" w:type="dxa"/>
            <w:vAlign w:val="bottom"/>
            <w:gridSpan w:val="6"/>
          </w:tcPr>
          <w:p>
            <w:pPr>
              <w:jc w:val="center"/>
              <w:ind w:left="273"/>
              <w:spacing w:after="0"/>
              <w:rPr>
                <w:sz w:val="20"/>
                <w:szCs w:val="20"/>
                <w:color w:val="auto"/>
              </w:rPr>
            </w:pPr>
            <w:r>
              <w:rPr>
                <w:rFonts w:ascii="Times New Roman" w:cs="Times New Roman" w:eastAsia="Times New Roman" w:hAnsi="Times New Roman"/>
                <w:sz w:val="13"/>
                <w:szCs w:val="13"/>
                <w:color w:val="auto"/>
              </w:rPr>
              <w:t>Securities registered pursuant to Section 12(b) of the Exchange Act:</w:t>
            </w:r>
          </w:p>
        </w:tc>
        <w:tc>
          <w:tcPr>
            <w:tcW w:w="2060" w:type="dxa"/>
            <w:vAlign w:val="bottom"/>
          </w:tcPr>
          <w:p>
            <w:pPr>
              <w:spacing w:after="0"/>
              <w:rPr>
                <w:sz w:val="24"/>
                <w:szCs w:val="24"/>
                <w:color w:val="auto"/>
              </w:rPr>
            </w:pPr>
          </w:p>
        </w:tc>
      </w:tr>
      <w:tr>
        <w:trPr>
          <w:trHeight w:val="257"/>
        </w:trPr>
        <w:tc>
          <w:tcPr>
            <w:tcW w:w="176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Title of each class</w:t>
            </w:r>
          </w:p>
        </w:tc>
        <w:tc>
          <w:tcPr>
            <w:tcW w:w="760" w:type="dxa"/>
            <w:vAlign w:val="bottom"/>
          </w:tcPr>
          <w:p>
            <w:pPr>
              <w:spacing w:after="0"/>
              <w:rPr>
                <w:sz w:val="22"/>
                <w:szCs w:val="22"/>
                <w:color w:val="auto"/>
              </w:rPr>
            </w:pPr>
          </w:p>
        </w:tc>
        <w:tc>
          <w:tcPr>
            <w:tcW w:w="2140" w:type="dxa"/>
            <w:vAlign w:val="bottom"/>
            <w:gridSpan w:val="3"/>
          </w:tcPr>
          <w:p>
            <w:pPr>
              <w:jc w:val="center"/>
              <w:ind w:left="761"/>
              <w:spacing w:after="0"/>
              <w:rPr>
                <w:sz w:val="20"/>
                <w:szCs w:val="20"/>
                <w:color w:val="auto"/>
              </w:rPr>
            </w:pPr>
            <w:r>
              <w:rPr>
                <w:rFonts w:ascii="Times New Roman" w:cs="Times New Roman" w:eastAsia="Times New Roman" w:hAnsi="Times New Roman"/>
                <w:sz w:val="13"/>
                <w:szCs w:val="13"/>
                <w:color w:val="auto"/>
              </w:rPr>
              <w:t>Trading Symbol(s)</w:t>
            </w:r>
          </w:p>
        </w:tc>
        <w:tc>
          <w:tcPr>
            <w:tcW w:w="860" w:type="dxa"/>
            <w:vAlign w:val="bottom"/>
          </w:tcPr>
          <w:p>
            <w:pPr>
              <w:spacing w:after="0"/>
              <w:rPr>
                <w:sz w:val="22"/>
                <w:szCs w:val="22"/>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20"/>
        </w:trPr>
        <w:tc>
          <w:tcPr>
            <w:tcW w:w="17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r>
      <w:tr>
        <w:trPr>
          <w:trHeight w:val="196"/>
        </w:trPr>
        <w:tc>
          <w:tcPr>
            <w:tcW w:w="3500" w:type="dxa"/>
            <w:vAlign w:val="bottom"/>
            <w:gridSpan w:val="3"/>
          </w:tcPr>
          <w:p>
            <w:pPr>
              <w:jc w:val="center"/>
              <w:ind w:left="931"/>
              <w:spacing w:after="0"/>
              <w:rPr>
                <w:sz w:val="20"/>
                <w:szCs w:val="20"/>
                <w:color w:val="auto"/>
              </w:rPr>
            </w:pPr>
            <w:r>
              <w:rPr>
                <w:rFonts w:ascii="Times New Roman" w:cs="Times New Roman" w:eastAsia="Times New Roman" w:hAnsi="Times New Roman"/>
                <w:sz w:val="13"/>
                <w:szCs w:val="13"/>
                <w:color w:val="auto"/>
              </w:rPr>
              <w:t>Common Stock, $0.0001 par value per share</w:t>
            </w:r>
          </w:p>
        </w:tc>
        <w:tc>
          <w:tcPr>
            <w:tcW w:w="98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BYON</w:t>
            </w: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New York Stock Exchange</w:t>
            </w:r>
          </w:p>
        </w:tc>
      </w:tr>
      <w:tr>
        <w:trPr>
          <w:trHeight w:val="513"/>
        </w:trPr>
        <w:tc>
          <w:tcPr>
            <w:tcW w:w="35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92"/>
        </w:trPr>
        <w:tc>
          <w:tcPr>
            <w:tcW w:w="6840" w:type="dxa"/>
            <w:vAlign w:val="bottom"/>
            <w:gridSpan w:val="8"/>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p>
        </w:tc>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No </w:t>
            </w:r>
            <w:r>
              <w:rPr>
                <w:rFonts w:ascii="Wingdings" w:cs="Wingdings" w:eastAsia="Wingdings" w:hAnsi="Wingdings"/>
                <w:sz w:val="13"/>
                <w:szCs w:val="13"/>
                <w:b w:val="1"/>
                <w:bCs w:val="1"/>
                <w:color w:val="auto"/>
              </w:rPr>
              <w:t>o</w:t>
            </w:r>
          </w:p>
        </w:tc>
      </w:tr>
      <w:tr>
        <w:trPr>
          <w:trHeight w:val="270"/>
        </w:trPr>
        <w:tc>
          <w:tcPr>
            <w:tcW w:w="684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Wingdings" w:cs="Wingdings" w:eastAsia="Wingdings" w:hAnsi="Wingdings"/>
                <w:sz w:val="13"/>
                <w:szCs w:val="13"/>
                <w:b w:val="1"/>
                <w:bCs w:val="1"/>
                <w:color w:val="auto"/>
              </w:rPr>
              <w:t>o</w:t>
            </w:r>
          </w:p>
        </w:tc>
        <w:tc>
          <w:tcPr>
            <w:tcW w:w="2060" w:type="dxa"/>
            <w:vAlign w:val="bottom"/>
          </w:tcPr>
          <w:p>
            <w:pPr>
              <w:ind w:left="12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bl>
    <w:p>
      <w:pPr>
        <w:spacing w:after="0" w:line="74" w:lineRule="exact"/>
        <w:rPr>
          <w:sz w:val="24"/>
          <w:szCs w:val="24"/>
          <w:color w:val="auto"/>
        </w:rPr>
      </w:pPr>
    </w:p>
    <w:p>
      <w:pPr>
        <w:ind w:right="200" w:firstLine="648"/>
        <w:spacing w:after="0" w:line="17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74" w:lineRule="exact"/>
        <w:rPr>
          <w:sz w:val="24"/>
          <w:szCs w:val="24"/>
          <w:color w:val="auto"/>
        </w:rPr>
      </w:pPr>
    </w:p>
    <w:p>
      <w:pPr>
        <w:ind w:right="80" w:firstLine="648"/>
        <w:spacing w:after="0" w:line="17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74" w:lineRule="exact"/>
        <w:rPr>
          <w:sz w:val="24"/>
          <w:szCs w:val="24"/>
          <w:color w:val="auto"/>
        </w:rPr>
      </w:pPr>
    </w:p>
    <w:p>
      <w:pPr>
        <w:ind w:right="420" w:firstLine="648"/>
        <w:spacing w:after="0" w:line="299"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0" w:lineRule="exact"/>
        <w:rPr>
          <w:sz w:val="24"/>
          <w:szCs w:val="24"/>
          <w:color w:val="auto"/>
        </w:rPr>
      </w:pPr>
    </w:p>
    <w:tbl>
      <w:tblPr>
        <w:tblLayout w:type="fixed"/>
        <w:tblInd w:w="20" w:type="dxa"/>
        <w:tblCellMar>
          <w:top w:w="0" w:type="dxa"/>
          <w:left w:w="0" w:type="dxa"/>
          <w:bottom w:w="0" w:type="dxa"/>
          <w:right w:w="0" w:type="dxa"/>
        </w:tblCellMar>
      </w:tblPr>
      <w:tr>
        <w:trPr>
          <w:trHeight w:val="174"/>
        </w:trPr>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260" w:type="dxa"/>
            <w:vAlign w:val="bottom"/>
          </w:tcPr>
          <w:p>
            <w:pPr>
              <w:ind w:left="1980"/>
              <w:spacing w:after="0"/>
              <w:rPr>
                <w:sz w:val="20"/>
                <w:szCs w:val="20"/>
                <w:color w:val="auto"/>
              </w:rPr>
            </w:pPr>
            <w:r>
              <w:rPr>
                <w:rFonts w:ascii="Wingdings" w:cs="Wingdings" w:eastAsia="Wingdings" w:hAnsi="Wingdings"/>
                <w:sz w:val="13"/>
                <w:szCs w:val="13"/>
                <w:b w:val="1"/>
                <w:bCs w:val="1"/>
                <w:color w:val="auto"/>
              </w:rPr>
              <w:t>x</w:t>
            </w:r>
          </w:p>
        </w:tc>
        <w:tc>
          <w:tcPr>
            <w:tcW w:w="3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Accelerated filer</w:t>
            </w:r>
          </w:p>
        </w:tc>
        <w:tc>
          <w:tcPr>
            <w:tcW w:w="2000" w:type="dxa"/>
            <w:vAlign w:val="bottom"/>
          </w:tcPr>
          <w:p>
            <w:pPr>
              <w:ind w:left="1880"/>
              <w:spacing w:after="0"/>
              <w:rPr>
                <w:sz w:val="20"/>
                <w:szCs w:val="20"/>
                <w:color w:val="auto"/>
              </w:rPr>
            </w:pPr>
            <w:r>
              <w:rPr>
                <w:rFonts w:ascii="Wingdings" w:cs="Wingdings" w:eastAsia="Wingdings" w:hAnsi="Wingdings"/>
                <w:sz w:val="13"/>
                <w:szCs w:val="13"/>
                <w:b w:val="1"/>
                <w:bCs w:val="1"/>
                <w:color w:val="auto"/>
                <w:w w:val="85"/>
              </w:rPr>
              <w:t>o</w:t>
            </w:r>
          </w:p>
        </w:tc>
      </w:tr>
      <w:tr>
        <w:trPr>
          <w:trHeight w:val="189"/>
        </w:trPr>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260" w:type="dxa"/>
            <w:vAlign w:val="bottom"/>
          </w:tcPr>
          <w:p>
            <w:pPr>
              <w:ind w:left="1980"/>
              <w:spacing w:after="0"/>
              <w:rPr>
                <w:sz w:val="20"/>
                <w:szCs w:val="20"/>
                <w:color w:val="auto"/>
              </w:rPr>
            </w:pPr>
            <w:r>
              <w:rPr>
                <w:rFonts w:ascii="Wingdings" w:cs="Wingdings" w:eastAsia="Wingdings" w:hAnsi="Wingdings"/>
                <w:sz w:val="13"/>
                <w:szCs w:val="13"/>
                <w:b w:val="1"/>
                <w:bCs w:val="1"/>
                <w:color w:val="auto"/>
              </w:rPr>
              <w:t>o</w:t>
            </w:r>
          </w:p>
        </w:tc>
        <w:tc>
          <w:tcPr>
            <w:tcW w:w="3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000" w:type="dxa"/>
            <w:vAlign w:val="bottom"/>
          </w:tcPr>
          <w:p>
            <w:pPr>
              <w:ind w:left="1880"/>
              <w:spacing w:after="0"/>
              <w:rPr>
                <w:sz w:val="20"/>
                <w:szCs w:val="20"/>
                <w:color w:val="auto"/>
              </w:rPr>
            </w:pPr>
            <w:r>
              <w:rPr>
                <w:rFonts w:ascii="Wingdings" w:cs="Wingdings" w:eastAsia="Wingdings" w:hAnsi="Wingdings"/>
                <w:sz w:val="13"/>
                <w:szCs w:val="13"/>
                <w:b w:val="1"/>
                <w:bCs w:val="1"/>
                <w:color w:val="auto"/>
                <w:w w:val="85"/>
              </w:rPr>
              <w:t>o</w:t>
            </w:r>
          </w:p>
        </w:tc>
      </w:tr>
      <w:tr>
        <w:trPr>
          <w:trHeight w:val="216"/>
        </w:trPr>
        <w:tc>
          <w:tcPr>
            <w:tcW w:w="32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Emerging growth company</w:t>
            </w:r>
          </w:p>
        </w:tc>
        <w:tc>
          <w:tcPr>
            <w:tcW w:w="2000" w:type="dxa"/>
            <w:vAlign w:val="bottom"/>
          </w:tcPr>
          <w:p>
            <w:pPr>
              <w:ind w:left="1880"/>
              <w:spacing w:after="0"/>
              <w:rPr>
                <w:sz w:val="20"/>
                <w:szCs w:val="20"/>
                <w:color w:val="auto"/>
              </w:rPr>
            </w:pPr>
            <w:r>
              <w:rPr>
                <w:rFonts w:ascii="Wingdings" w:cs="Wingdings" w:eastAsia="Wingdings" w:hAnsi="Wingdings"/>
                <w:sz w:val="13"/>
                <w:szCs w:val="13"/>
                <w:b w:val="1"/>
                <w:bCs w:val="1"/>
                <w:color w:val="auto"/>
                <w:w w:val="85"/>
              </w:rPr>
              <w:t>o</w:t>
            </w:r>
          </w:p>
        </w:tc>
      </w:tr>
    </w:tbl>
    <w:p>
      <w:pPr>
        <w:spacing w:after="0" w:line="231" w:lineRule="exact"/>
        <w:rPr>
          <w:sz w:val="24"/>
          <w:szCs w:val="24"/>
          <w:color w:val="auto"/>
        </w:rPr>
      </w:pPr>
    </w:p>
    <w:p>
      <w:pPr>
        <w:ind w:firstLine="648"/>
        <w:spacing w:after="0" w:line="299"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60" w:lineRule="exact"/>
        <w:rPr>
          <w:sz w:val="24"/>
          <w:szCs w:val="24"/>
          <w:color w:val="auto"/>
        </w:rPr>
      </w:pPr>
    </w:p>
    <w:p>
      <w:pPr>
        <w:ind w:right="60" w:firstLine="648"/>
        <w:spacing w:after="0" w:line="17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4" w:lineRule="exact"/>
        <w:rPr>
          <w:sz w:val="24"/>
          <w:szCs w:val="24"/>
          <w:color w:val="auto"/>
        </w:rPr>
      </w:pPr>
    </w:p>
    <w:p>
      <w:pPr>
        <w:ind w:right="120" w:firstLine="648"/>
        <w:spacing w:after="0" w:line="299" w:lineRule="auto"/>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3"/>
          <w:szCs w:val="13"/>
          <w:b w:val="1"/>
          <w:bCs w:val="1"/>
          <w:color w:val="auto"/>
        </w:rPr>
        <w:t>o</w:t>
      </w:r>
    </w:p>
    <w:p>
      <w:pPr>
        <w:spacing w:after="0" w:line="60" w:lineRule="exact"/>
        <w:rPr>
          <w:sz w:val="24"/>
          <w:szCs w:val="24"/>
          <w:color w:val="auto"/>
        </w:rPr>
      </w:pPr>
    </w:p>
    <w:p>
      <w:pPr>
        <w:ind w:right="280" w:firstLine="648"/>
        <w:spacing w:after="0" w:line="299" w:lineRule="auto"/>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3"/>
          <w:szCs w:val="13"/>
          <w:b w:val="1"/>
          <w:bCs w:val="1"/>
          <w:color w:val="auto"/>
        </w:rPr>
        <w:t>o</w:t>
      </w:r>
    </w:p>
    <w:p>
      <w:pPr>
        <w:spacing w:after="0" w:line="29" w:lineRule="exact"/>
        <w:rPr>
          <w:sz w:val="24"/>
          <w:szCs w:val="24"/>
          <w:color w:val="auto"/>
        </w:rPr>
      </w:pPr>
    </w:p>
    <w:p>
      <w:pPr>
        <w:ind w:left="66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52" w:lineRule="exact"/>
        <w:rPr>
          <w:sz w:val="24"/>
          <w:szCs w:val="24"/>
          <w:color w:val="auto"/>
        </w:rPr>
      </w:pPr>
    </w:p>
    <w:p>
      <w:pPr>
        <w:ind w:right="20" w:firstLine="648"/>
        <w:spacing w:after="0" w:line="273" w:lineRule="auto"/>
        <w:rPr>
          <w:sz w:val="20"/>
          <w:szCs w:val="20"/>
          <w:color w:val="auto"/>
        </w:rPr>
      </w:pPr>
      <w:r>
        <w:rPr>
          <w:rFonts w:ascii="Times New Roman" w:cs="Times New Roman" w:eastAsia="Times New Roman" w:hAnsi="Times New Roman"/>
          <w:sz w:val="13"/>
          <w:szCs w:val="13"/>
          <w:color w:val="auto"/>
        </w:rPr>
        <w:t>The aggregate market value of voting and non-voting common equity held by non-affiliates of the registrant as of the last business day of the registrant's most recently completed second quarter (June 30, 2023), was approximately $1.5 billion based upon the last sales price reported by Nasdaq. For purposes of this disclosure, shares of Common Stock held by directors and certain officers and by others who may be deemed to be affiliates of the registrant have been excluded. The exclusion of such shares is not intended to, and shall not, constitute a determination as to which persons or entities may be affiliates as that term is defined in the federal securities laws.</w:t>
      </w:r>
    </w:p>
    <w:p>
      <w:pPr>
        <w:spacing w:after="0" w:line="7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3"/>
          <w:szCs w:val="13"/>
          <w:color w:val="auto"/>
        </w:rPr>
        <w:t>There were 45,574,586 shares of the Registrant's common stock, par value $0.0001, outstanding on February 16, 2024.</w:t>
      </w:r>
    </w:p>
    <w:p>
      <w:pPr>
        <w:spacing w:after="0" w:line="117"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25" w:lineRule="exact"/>
        <w:rPr>
          <w:sz w:val="24"/>
          <w:szCs w:val="24"/>
          <w:color w:val="auto"/>
        </w:rPr>
      </w:pPr>
    </w:p>
    <w:p>
      <w:pPr>
        <w:ind w:right="260" w:firstLine="648"/>
        <w:spacing w:after="0" w:line="299" w:lineRule="auto"/>
        <w:rPr>
          <w:sz w:val="20"/>
          <w:szCs w:val="20"/>
          <w:color w:val="auto"/>
        </w:rPr>
      </w:pPr>
      <w:r>
        <w:rPr>
          <w:rFonts w:ascii="Times New Roman" w:cs="Times New Roman" w:eastAsia="Times New Roman" w:hAnsi="Times New Roman"/>
          <w:sz w:val="13"/>
          <w:szCs w:val="13"/>
          <w:color w:val="auto"/>
        </w:rPr>
        <w:t>Certain information required by Part III of Form 10-K is incorporated by reference to the Registrant's proxy statement for the 2024 Annual Stockholders Meeting, which will be filed with the Securities and Exchange Commission within 120 days after the end of the fiscal year to which this Report relates</w:t>
      </w:r>
      <w:r>
        <w:rPr>
          <w:rFonts w:ascii="Times New Roman" w:cs="Times New Roman" w:eastAsia="Times New Roman" w:hAnsi="Times New Roman"/>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358775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Beyond, Inc. and our controlled subsidiaries ("the Company") hold a minority equity interest in tZERO Group, Inc. ("tZERO") which is accounted for under the equity method under ASC Topic 323</w:t>
      </w:r>
      <w:r>
        <w:rPr>
          <w:rFonts w:ascii="Times New Roman" w:cs="Times New Roman" w:eastAsia="Times New Roman" w:hAnsi="Times New Roman"/>
          <w:sz w:val="18"/>
          <w:szCs w:val="18"/>
          <w:i w:val="1"/>
          <w:iCs w:val="1"/>
          <w:color w:val="auto"/>
        </w:rPr>
        <w:t>, Investments—Equity Method and Joint Ventures</w:t>
      </w:r>
      <w:r>
        <w:rPr>
          <w:rFonts w:ascii="Times New Roman" w:cs="Times New Roman" w:eastAsia="Times New Roman" w:hAnsi="Times New Roman"/>
          <w:sz w:val="18"/>
          <w:szCs w:val="18"/>
          <w:color w:val="auto"/>
        </w:rPr>
        <w:t>, since we can exercise significant influence, but not control, over tZERO through holding more than a 20% voting interest. In accordance with Rule 3-09 of Regulation S-X ("Rule 3-09"), we must determine if any of our equity method securities is a "significant subsidiary" under prescribed tests. tZERO did not meet the significant subsidiary test for the year ended December 31, 2021 but met the significant subsidiary test for the years ended December 31, 2023 and 2022. Accordingly, pursuant to Rule 3-09, we are required to provide in this Annual Report on Form 10-K ("Form 10-K") the audited financial statements for tZERO for the periods ended December 31, 2023 and 2022. We have included in this Form 10-K the separate audited financial statements of tZERO for the years ended December 31, 2022 and 2021 as Exhibit 99.4. We have requested the audited consolidated financial statements for the year ended December 31, 2023 from tZERO; however, the audited financial statements are not currently available to us. We rely upon tZERO for their audited financial statements and they are not reasonably available to us since they rest peculiarly within the knowledge of tZERO, which we do not control. Therefore, in reliance on Rule 12b-21 under the Securities Exchange Act of 1934, as amended, we are omitting the audited consolidated financial statements of tZERO for the year ended December 31, 2023. In response to our request, however, tZERO has provided us with unaudited limited financial information for year ended December 31, 2023 which has been summarized in Note 10—Equity Securities in the "Notes to Consolidated Financial Statements" included in Item 8 of Part II, "Financial Statements and Supplementary Data" of this Annual Report on Form 10-K aggregated with our other significant subsidiaries required by Rule 4-08(g). As a result of including such financial information for tZERO, we do not believe that the omission of the tZERO audited financial statements for year ended December 31, 2023 will have a material impact on a reader’s understanding of our financial condition or our results of operations. We plan to file the audited financial statements for tZERO for the year ended December 31, 2023, once they are available, with an amendment to this Form 10-K.</w:t>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720" w:type="dxa"/>
            <w:vAlign w:val="bottom"/>
            <w:gridSpan w:val="9"/>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00" w:type="dxa"/>
            <w:vAlign w:val="bottom"/>
          </w:tcPr>
          <w:p>
            <w:pPr>
              <w:spacing w:after="0"/>
              <w:rPr>
                <w:sz w:val="20"/>
                <w:szCs w:val="20"/>
                <w:color w:val="auto"/>
              </w:rPr>
            </w:pPr>
          </w:p>
        </w:tc>
      </w:tr>
      <w:tr>
        <w:trPr>
          <w:trHeight w:val="526"/>
        </w:trPr>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Special Cautionary Note Regarding Forward-Looking Statements</w:t>
            </w:r>
          </w:p>
        </w:tc>
        <w:tc>
          <w:tcPr>
            <w:tcW w:w="18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502"/>
        </w:trPr>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00" w:type="dxa"/>
            <w:vAlign w:val="bottom"/>
            <w:gridSpan w:val="7"/>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800" w:type="dxa"/>
            <w:vAlign w:val="bottom"/>
          </w:tcPr>
          <w:p>
            <w:pPr>
              <w:spacing w:after="0"/>
              <w:rPr>
                <w:sz w:val="24"/>
                <w:szCs w:val="24"/>
                <w:color w:val="auto"/>
              </w:rPr>
            </w:pPr>
          </w:p>
        </w:tc>
      </w:tr>
      <w:tr>
        <w:trPr>
          <w:trHeight w:val="194"/>
        </w:trPr>
        <w:tc>
          <w:tcPr>
            <w:tcW w:w="1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806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1800" w:type="dxa"/>
            <w:vAlign w:val="bottom"/>
          </w:tcPr>
          <w:p>
            <w:pPr>
              <w:jc w:val="center"/>
              <w:ind w:left="1530"/>
              <w:spacing w:after="0" w:line="194"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09"/>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10"/>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6000" w:type="dxa"/>
            <w:vAlign w:val="bottom"/>
            <w:gridSpan w:val="12"/>
          </w:tcPr>
          <w:p>
            <w:pPr>
              <w:spacing w:after="0"/>
              <w:rPr>
                <w:sz w:val="18"/>
                <w:szCs w:val="18"/>
                <w:color w:val="auto"/>
              </w:rPr>
            </w:pPr>
          </w:p>
        </w:tc>
        <w:tc>
          <w:tcPr>
            <w:tcW w:w="18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24</w:t>
            </w:r>
          </w:p>
        </w:tc>
      </w:tr>
      <w:tr>
        <w:trPr>
          <w:trHeight w:val="209"/>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7040" w:type="dxa"/>
            <w:vAlign w:val="bottom"/>
            <w:gridSpan w:val="18"/>
          </w:tcPr>
          <w:p>
            <w:pPr>
              <w:spacing w:after="0"/>
              <w:rPr>
                <w:sz w:val="18"/>
                <w:szCs w:val="18"/>
                <w:color w:val="auto"/>
              </w:rPr>
            </w:pPr>
          </w:p>
        </w:tc>
        <w:tc>
          <w:tcPr>
            <w:tcW w:w="18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24</w:t>
            </w:r>
          </w:p>
        </w:tc>
      </w:tr>
      <w:tr>
        <w:trPr>
          <w:trHeight w:val="210"/>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7320" w:type="dxa"/>
            <w:vAlign w:val="bottom"/>
            <w:gridSpan w:val="20"/>
          </w:tcPr>
          <w:p>
            <w:pPr>
              <w:spacing w:after="0"/>
              <w:rPr>
                <w:sz w:val="18"/>
                <w:szCs w:val="18"/>
                <w:color w:val="auto"/>
              </w:rPr>
            </w:pPr>
          </w:p>
        </w:tc>
        <w:tc>
          <w:tcPr>
            <w:tcW w:w="18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25</w:t>
            </w:r>
          </w:p>
        </w:tc>
      </w:tr>
      <w:tr>
        <w:trPr>
          <w:trHeight w:val="210"/>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720" w:type="dxa"/>
            <w:vAlign w:val="bottom"/>
            <w:gridSpan w:val="16"/>
          </w:tcPr>
          <w:p>
            <w:pPr>
              <w:spacing w:after="0"/>
              <w:rPr>
                <w:sz w:val="18"/>
                <w:szCs w:val="18"/>
                <w:color w:val="auto"/>
              </w:rPr>
            </w:pPr>
          </w:p>
        </w:tc>
        <w:tc>
          <w:tcPr>
            <w:tcW w:w="18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25</w:t>
            </w:r>
          </w:p>
        </w:tc>
      </w:tr>
      <w:tr>
        <w:trPr>
          <w:trHeight w:val="209"/>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25</w:t>
            </w:r>
          </w:p>
        </w:tc>
      </w:tr>
      <w:tr>
        <w:trPr>
          <w:trHeight w:val="502"/>
        </w:trPr>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00" w:type="dxa"/>
            <w:vAlign w:val="bottom"/>
            <w:gridSpan w:val="7"/>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800" w:type="dxa"/>
            <w:vAlign w:val="bottom"/>
          </w:tcPr>
          <w:p>
            <w:pPr>
              <w:spacing w:after="0"/>
              <w:rPr>
                <w:sz w:val="24"/>
                <w:szCs w:val="24"/>
                <w:color w:val="auto"/>
              </w:rPr>
            </w:pPr>
          </w:p>
        </w:tc>
      </w:tr>
      <w:tr>
        <w:trPr>
          <w:trHeight w:val="194"/>
        </w:trPr>
        <w:tc>
          <w:tcPr>
            <w:tcW w:w="1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60" w:type="dxa"/>
            <w:vAlign w:val="bottom"/>
            <w:tcBorders>
              <w:bottom w:val="single" w:sz="8" w:color="0000FF"/>
            </w:tcBorders>
            <w:gridSpan w:val="23"/>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800" w:type="dxa"/>
            <w:vAlign w:val="bottom"/>
          </w:tcPr>
          <w:p>
            <w:pPr>
              <w:jc w:val="center"/>
              <w:ind w:left="1530"/>
              <w:spacing w:after="0" w:line="194" w:lineRule="exact"/>
              <w:rPr>
                <w:sz w:val="20"/>
                <w:szCs w:val="20"/>
                <w:color w:val="auto"/>
              </w:rPr>
            </w:pPr>
            <w:r>
              <w:rPr>
                <w:rFonts w:ascii="Times New Roman" w:cs="Times New Roman" w:eastAsia="Times New Roman" w:hAnsi="Times New Roman"/>
                <w:sz w:val="18"/>
                <w:szCs w:val="18"/>
                <w:color w:val="auto"/>
                <w:w w:val="99"/>
              </w:rPr>
              <w:t>26</w:t>
            </w:r>
          </w:p>
        </w:tc>
      </w:tr>
      <w:tr>
        <w:trPr>
          <w:trHeight w:val="209"/>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380" w:type="dxa"/>
            <w:vAlign w:val="bottom"/>
            <w:gridSpan w:val="21"/>
          </w:tcPr>
          <w:p>
            <w:pPr>
              <w:spacing w:after="0"/>
              <w:rPr>
                <w:sz w:val="18"/>
                <w:szCs w:val="18"/>
                <w:color w:val="auto"/>
              </w:rPr>
            </w:pPr>
          </w:p>
        </w:tc>
        <w:tc>
          <w:tcPr>
            <w:tcW w:w="18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28</w:t>
            </w:r>
          </w:p>
        </w:tc>
      </w:tr>
      <w:tr>
        <w:trPr>
          <w:trHeight w:val="209"/>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8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28</w:t>
            </w:r>
          </w:p>
        </w:tc>
      </w:tr>
      <w:tr>
        <w:trPr>
          <w:trHeight w:val="209"/>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644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620" w:type="dxa"/>
            <w:vAlign w:val="bottom"/>
            <w:gridSpan w:val="3"/>
          </w:tcPr>
          <w:p>
            <w:pPr>
              <w:spacing w:after="0"/>
              <w:rPr>
                <w:sz w:val="18"/>
                <w:szCs w:val="18"/>
                <w:color w:val="auto"/>
              </w:rPr>
            </w:pPr>
          </w:p>
        </w:tc>
        <w:tc>
          <w:tcPr>
            <w:tcW w:w="18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37</w:t>
            </w:r>
          </w:p>
        </w:tc>
      </w:tr>
      <w:tr>
        <w:trPr>
          <w:trHeight w:val="209"/>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2"/>
          </w:tcPr>
          <w:p>
            <w:pPr>
              <w:spacing w:after="0"/>
              <w:rPr>
                <w:sz w:val="18"/>
                <w:szCs w:val="18"/>
                <w:color w:val="auto"/>
              </w:rPr>
            </w:pPr>
          </w:p>
        </w:tc>
        <w:tc>
          <w:tcPr>
            <w:tcW w:w="3700" w:type="dxa"/>
            <w:vAlign w:val="bottom"/>
            <w:gridSpan w:val="7"/>
          </w:tcPr>
          <w:p>
            <w:pPr>
              <w:spacing w:after="0"/>
              <w:rPr>
                <w:sz w:val="18"/>
                <w:szCs w:val="18"/>
                <w:color w:val="auto"/>
              </w:rPr>
            </w:pPr>
          </w:p>
        </w:tc>
        <w:tc>
          <w:tcPr>
            <w:tcW w:w="18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38</w:t>
            </w:r>
          </w:p>
        </w:tc>
      </w:tr>
      <w:tr>
        <w:trPr>
          <w:trHeight w:val="210"/>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8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8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78</w:t>
            </w:r>
          </w:p>
        </w:tc>
      </w:tr>
      <w:tr>
        <w:trPr>
          <w:trHeight w:val="209"/>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FF"/>
            </w:tcBorders>
            <w:gridSpan w:val="12"/>
          </w:tcPr>
          <w:p>
            <w:pPr>
              <w:spacing w:after="0"/>
              <w:rPr>
                <w:sz w:val="18"/>
                <w:szCs w:val="18"/>
                <w:color w:val="auto"/>
              </w:rPr>
            </w:pPr>
          </w:p>
        </w:tc>
        <w:tc>
          <w:tcPr>
            <w:tcW w:w="1580" w:type="dxa"/>
            <w:vAlign w:val="bottom"/>
            <w:gridSpan w:val="2"/>
          </w:tcPr>
          <w:p>
            <w:pPr>
              <w:spacing w:after="0"/>
              <w:rPr>
                <w:sz w:val="18"/>
                <w:szCs w:val="18"/>
                <w:color w:val="auto"/>
              </w:rPr>
            </w:pPr>
          </w:p>
        </w:tc>
        <w:tc>
          <w:tcPr>
            <w:tcW w:w="18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78</w:t>
            </w:r>
          </w:p>
        </w:tc>
      </w:tr>
      <w:tr>
        <w:trPr>
          <w:trHeight w:val="209"/>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6740" w:type="dxa"/>
            <w:vAlign w:val="bottom"/>
            <w:gridSpan w:val="17"/>
          </w:tcPr>
          <w:p>
            <w:pPr>
              <w:spacing w:after="0"/>
              <w:rPr>
                <w:sz w:val="18"/>
                <w:szCs w:val="18"/>
                <w:color w:val="auto"/>
              </w:rPr>
            </w:pPr>
          </w:p>
        </w:tc>
        <w:tc>
          <w:tcPr>
            <w:tcW w:w="18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81</w:t>
            </w:r>
          </w:p>
        </w:tc>
      </w:tr>
      <w:tr>
        <w:trPr>
          <w:trHeight w:val="209"/>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9C.</w:t>
            </w:r>
          </w:p>
        </w:tc>
        <w:tc>
          <w:tcPr>
            <w:tcW w:w="8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8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81</w:t>
            </w:r>
          </w:p>
        </w:tc>
      </w:tr>
      <w:tr>
        <w:trPr>
          <w:trHeight w:val="20"/>
        </w:trPr>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502"/>
        </w:trPr>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960" w:type="dxa"/>
            <w:vAlign w:val="bottom"/>
            <w:gridSpan w:val="8"/>
          </w:tcPr>
          <w:p>
            <w:pPr>
              <w:jc w:val="center"/>
              <w:ind w:right="2860"/>
              <w:spacing w:after="0"/>
              <w:rPr>
                <w:sz w:val="20"/>
                <w:szCs w:val="20"/>
                <w:color w:val="auto"/>
              </w:rPr>
            </w:pPr>
            <w:r>
              <w:rPr>
                <w:rFonts w:ascii="Times New Roman" w:cs="Times New Roman" w:eastAsia="Times New Roman" w:hAnsi="Times New Roman"/>
                <w:sz w:val="18"/>
                <w:szCs w:val="18"/>
                <w:b w:val="1"/>
                <w:bCs w:val="1"/>
                <w:color w:val="auto"/>
                <w:w w:val="97"/>
              </w:rPr>
              <w:t>Part III</w:t>
            </w:r>
          </w:p>
        </w:tc>
        <w:tc>
          <w:tcPr>
            <w:tcW w:w="1800" w:type="dxa"/>
            <w:vAlign w:val="bottom"/>
          </w:tcPr>
          <w:p>
            <w:pPr>
              <w:spacing w:after="0"/>
              <w:rPr>
                <w:sz w:val="24"/>
                <w:szCs w:val="24"/>
                <w:color w:val="auto"/>
              </w:rPr>
            </w:pPr>
          </w:p>
        </w:tc>
      </w:tr>
      <w:tr>
        <w:trPr>
          <w:trHeight w:val="194"/>
        </w:trPr>
        <w:tc>
          <w:tcPr>
            <w:tcW w:w="1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3960" w:type="dxa"/>
            <w:vAlign w:val="bottom"/>
            <w:gridSpan w:val="8"/>
          </w:tcPr>
          <w:p>
            <w:pPr>
              <w:spacing w:after="0"/>
              <w:rPr>
                <w:sz w:val="16"/>
                <w:szCs w:val="16"/>
                <w:color w:val="auto"/>
              </w:rPr>
            </w:pPr>
          </w:p>
        </w:tc>
        <w:tc>
          <w:tcPr>
            <w:tcW w:w="1800" w:type="dxa"/>
            <w:vAlign w:val="bottom"/>
          </w:tcPr>
          <w:p>
            <w:pPr>
              <w:jc w:val="center"/>
              <w:ind w:left="1530"/>
              <w:spacing w:after="0" w:line="194" w:lineRule="exact"/>
              <w:rPr>
                <w:sz w:val="20"/>
                <w:szCs w:val="20"/>
                <w:color w:val="auto"/>
              </w:rPr>
            </w:pPr>
            <w:r>
              <w:rPr>
                <w:rFonts w:ascii="Times New Roman" w:cs="Times New Roman" w:eastAsia="Times New Roman" w:hAnsi="Times New Roman"/>
                <w:sz w:val="18"/>
                <w:szCs w:val="18"/>
                <w:color w:val="auto"/>
                <w:w w:val="99"/>
              </w:rPr>
              <w:t>82</w:t>
            </w:r>
          </w:p>
        </w:tc>
      </w:tr>
      <w:tr>
        <w:trPr>
          <w:trHeight w:val="209"/>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8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8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82</w:t>
            </w:r>
          </w:p>
        </w:tc>
      </w:tr>
      <w:tr>
        <w:trPr>
          <w:trHeight w:val="20"/>
        </w:trPr>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10"/>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760" w:type="dxa"/>
            <w:vAlign w:val="bottom"/>
          </w:tcPr>
          <w:p>
            <w:pPr>
              <w:spacing w:after="0"/>
              <w:rPr>
                <w:sz w:val="18"/>
                <w:szCs w:val="18"/>
                <w:color w:val="auto"/>
              </w:rPr>
            </w:pPr>
          </w:p>
        </w:tc>
        <w:tc>
          <w:tcPr>
            <w:tcW w:w="18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82</w:t>
            </w:r>
          </w:p>
        </w:tc>
      </w:tr>
      <w:tr>
        <w:trPr>
          <w:trHeight w:val="210"/>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2600" w:type="dxa"/>
            <w:vAlign w:val="bottom"/>
            <w:gridSpan w:val="4"/>
          </w:tcPr>
          <w:p>
            <w:pPr>
              <w:spacing w:after="0"/>
              <w:rPr>
                <w:sz w:val="18"/>
                <w:szCs w:val="18"/>
                <w:color w:val="auto"/>
              </w:rPr>
            </w:pPr>
          </w:p>
        </w:tc>
        <w:tc>
          <w:tcPr>
            <w:tcW w:w="18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82</w:t>
            </w:r>
          </w:p>
        </w:tc>
      </w:tr>
      <w:tr>
        <w:trPr>
          <w:trHeight w:val="209"/>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8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8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82</w:t>
            </w:r>
          </w:p>
        </w:tc>
      </w:tr>
      <w:tr>
        <w:trPr>
          <w:trHeight w:val="502"/>
        </w:trPr>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960" w:type="dxa"/>
            <w:vAlign w:val="bottom"/>
            <w:gridSpan w:val="8"/>
          </w:tcPr>
          <w:p>
            <w:pPr>
              <w:jc w:val="center"/>
              <w:ind w:right="2860"/>
              <w:spacing w:after="0"/>
              <w:rPr>
                <w:sz w:val="20"/>
                <w:szCs w:val="20"/>
                <w:color w:val="auto"/>
              </w:rPr>
            </w:pPr>
            <w:r>
              <w:rPr>
                <w:rFonts w:ascii="Times New Roman" w:cs="Times New Roman" w:eastAsia="Times New Roman" w:hAnsi="Times New Roman"/>
                <w:sz w:val="18"/>
                <w:szCs w:val="18"/>
                <w:b w:val="1"/>
                <w:bCs w:val="1"/>
                <w:color w:val="auto"/>
                <w:w w:val="99"/>
              </w:rPr>
              <w:t>Part IV</w:t>
            </w:r>
          </w:p>
        </w:tc>
        <w:tc>
          <w:tcPr>
            <w:tcW w:w="1800" w:type="dxa"/>
            <w:vAlign w:val="bottom"/>
          </w:tcPr>
          <w:p>
            <w:pPr>
              <w:spacing w:after="0"/>
              <w:rPr>
                <w:sz w:val="24"/>
                <w:szCs w:val="24"/>
                <w:color w:val="auto"/>
              </w:rPr>
            </w:pPr>
          </w:p>
        </w:tc>
      </w:tr>
      <w:tr>
        <w:trPr>
          <w:trHeight w:val="194"/>
        </w:trPr>
        <w:tc>
          <w:tcPr>
            <w:tcW w:w="1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806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1800" w:type="dxa"/>
            <w:vAlign w:val="bottom"/>
          </w:tcPr>
          <w:p>
            <w:pPr>
              <w:jc w:val="center"/>
              <w:ind w:left="1530"/>
              <w:spacing w:after="0" w:line="194" w:lineRule="exact"/>
              <w:rPr>
                <w:sz w:val="20"/>
                <w:szCs w:val="20"/>
                <w:color w:val="auto"/>
              </w:rPr>
            </w:pPr>
            <w:r>
              <w:rPr>
                <w:rFonts w:ascii="Times New Roman" w:cs="Times New Roman" w:eastAsia="Times New Roman" w:hAnsi="Times New Roman"/>
                <w:sz w:val="18"/>
                <w:szCs w:val="18"/>
                <w:color w:val="auto"/>
                <w:w w:val="99"/>
              </w:rPr>
              <w:t>83</w:t>
            </w:r>
          </w:p>
        </w:tc>
      </w:tr>
      <w:tr>
        <w:trPr>
          <w:trHeight w:val="209"/>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w:t>
            </w:r>
          </w:p>
        </w:tc>
        <w:tc>
          <w:tcPr>
            <w:tcW w:w="29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160" w:type="dxa"/>
            <w:vAlign w:val="bottom"/>
            <w:gridSpan w:val="10"/>
          </w:tcPr>
          <w:p>
            <w:pPr>
              <w:spacing w:after="0"/>
              <w:rPr>
                <w:sz w:val="18"/>
                <w:szCs w:val="18"/>
                <w:color w:val="auto"/>
              </w:rPr>
            </w:pPr>
          </w:p>
        </w:tc>
        <w:tc>
          <w:tcPr>
            <w:tcW w:w="18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87</w:t>
            </w:r>
          </w:p>
        </w:tc>
      </w:tr>
      <w:tr>
        <w:trPr>
          <w:trHeight w:val="46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88</w:t>
            </w:r>
          </w:p>
        </w:tc>
      </w:tr>
      <w:tr>
        <w:trPr>
          <w:trHeight w:val="20"/>
        </w:trPr>
        <w:tc>
          <w:tcPr>
            <w:tcW w:w="8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333"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Bed Bath &amp; Beyond, Wamsutta, Welcome Rewards, and Overstock.com are registered trademarks of Beyond, Inc. Other service marks, trademarks and trade names which may be referred to herein are the property of their respective owners.</w:t>
      </w:r>
    </w:p>
    <w:p>
      <w:pPr>
        <w:spacing w:after="0" w:line="200" w:lineRule="exact"/>
        <w:rPr>
          <w:sz w:val="20"/>
          <w:szCs w:val="20"/>
          <w:color w:val="auto"/>
        </w:rPr>
      </w:pPr>
    </w:p>
    <w:p>
      <w:pPr>
        <w:spacing w:after="0" w:line="34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927" w:right="6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SPECIAL CAUTIONARY NOTE REGARDING FORWARD-LOOKING STATEMENTS</w:t>
      </w:r>
    </w:p>
    <w:p>
      <w:pPr>
        <w:spacing w:after="0" w:line="14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This Report on Form 10-K and the documents incorporated herein by reference, and our other public documents and statements our officers and representatives may make from time to time, contain forward-looking statements within the meaning of the federal securities laws. These statements are therefore entitled to the protection of the safe harbor provisions of these laws. You can find many of these statements by looking for words such as "may," "would," "could," "should," "will," "expect," "anticipate," "predict," "project," "potential," "continue," "contemplate," "seek," "assume," "believe," "intend," "plan," "forecast," "goal," "estimate," or other similar expressions which identify these forward-looking statements.</w:t>
      </w:r>
    </w:p>
    <w:p>
      <w:pPr>
        <w:spacing w:after="0" w:line="21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These forward-looking statements involve risks and uncertainties and relate to future events or our future financial or operating performance. These forward-looking statements are not historical facts, and are based on current expectations, estimates and projections about our industry and business, and on management's beliefs and certain assumptions made by management, many of which, by their nature, are inherently uncertain and beyond our control. Accordingly, you are cautioned that any such forward-looking statements are not guarantees of future performance and are subject to assumptions, risks and uncertainties that are difficult to predict, and that actual results and outcomes may be materially different from the results or outcomes expressed or implied by any of our forward-looking statements for a variety of reasons, including among others:</w:t>
      </w:r>
    </w:p>
    <w:p>
      <w:pPr>
        <w:spacing w:after="0" w:line="209" w:lineRule="exact"/>
        <w:rPr>
          <w:sz w:val="20"/>
          <w:szCs w:val="20"/>
          <w:color w:val="auto"/>
        </w:rPr>
      </w:pPr>
    </w:p>
    <w:p>
      <w:pPr>
        <w:ind w:left="980" w:right="180" w:hanging="324"/>
        <w:spacing w:after="0" w:line="262"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difficulties we may encounter as a result of our reliance on third-parties that we do not control for the performance of critical functions material to our business, such as carriers, fulfillment partners, and SaaS/IaaS providers;</w:t>
      </w:r>
    </w:p>
    <w:p>
      <w:pPr>
        <w:ind w:left="980" w:right="480" w:hanging="324"/>
        <w:spacing w:after="0" w:line="250"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inability to compete successfully against existing or future competitors or to effectively market our business and generate customer traffic;</w:t>
      </w:r>
    </w:p>
    <w:p>
      <w:pPr>
        <w:ind w:left="980" w:right="60" w:hanging="324"/>
        <w:spacing w:after="0" w:line="250"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recession or other economic downturn, inflation, high interest rates, our exposure to the U.S. housing market, or other changes in U.S. and global economic conditions or U.S. consumer spending;</w:t>
      </w:r>
    </w:p>
    <w:p>
      <w:pPr>
        <w:ind w:left="980" w:right="620" w:hanging="324"/>
        <w:spacing w:after="0" w:line="250"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increases in the price of importing goods into the U.S. or transporting to our customers the types of merchandise we sell or other supply chain challenges that limit our ability to deliver merchandise to our customers in a timely and cost-effective manner;</w:t>
      </w:r>
    </w:p>
    <w:p>
      <w:pPr>
        <w:ind w:left="980" w:right="420" w:hanging="324"/>
        <w:spacing w:after="0" w:line="250"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difficulties or negative consequences we may encounter as a result of our changed company name, changed stock ticker symbol, changed stock exchange on which our common stock trades or as a result of our use of the Overstock brand, Bed Bath &amp; Beyond brand, or Beyond brand;</w:t>
      </w:r>
    </w:p>
    <w:p>
      <w:pPr>
        <w:spacing w:after="0" w:line="1" w:lineRule="exact"/>
        <w:rPr>
          <w:rFonts w:ascii="Times New Roman" w:cs="Times New Roman" w:eastAsia="Times New Roman" w:hAnsi="Times New Roman"/>
          <w:sz w:val="18"/>
          <w:szCs w:val="18"/>
          <w:i w:val="1"/>
          <w:iCs w:val="1"/>
          <w:color w:val="auto"/>
        </w:rPr>
      </w:pPr>
    </w:p>
    <w:p>
      <w:pPr>
        <w:ind w:left="980" w:right="300" w:hanging="324"/>
        <w:spacing w:after="0" w:line="250"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problems associated with the changing job market, changing job structure, changing compensation structure, or ability to attract and retain key personnel;</w:t>
      </w:r>
    </w:p>
    <w:p>
      <w:pPr>
        <w:ind w:left="980" w:hanging="324"/>
        <w:spacing w:after="0"/>
        <w:tabs>
          <w:tab w:leader="none" w:pos="9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inability to generate and maintain unpaid natural traffic to our Website;</w:t>
      </w:r>
    </w:p>
    <w:p>
      <w:pPr>
        <w:spacing w:after="0" w:line="9" w:lineRule="exact"/>
        <w:rPr>
          <w:rFonts w:ascii="Times New Roman" w:cs="Times New Roman" w:eastAsia="Times New Roman" w:hAnsi="Times New Roman"/>
          <w:sz w:val="18"/>
          <w:szCs w:val="18"/>
          <w:i w:val="1"/>
          <w:iCs w:val="1"/>
          <w:color w:val="auto"/>
        </w:rPr>
      </w:pPr>
    </w:p>
    <w:p>
      <w:pPr>
        <w:ind w:left="980" w:right="360" w:hanging="324"/>
        <w:spacing w:after="0" w:line="250"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inability to be profitable, generate positive cash flow from operations, or monetize significant assets like our corporate headquarters which is currently being marketed or sale;</w:t>
      </w:r>
    </w:p>
    <w:p>
      <w:pPr>
        <w:ind w:left="980" w:right="460" w:hanging="324"/>
        <w:spacing w:after="0" w:line="250"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challenges that would result in the event of any loss of functionality or unavailability of our Website or reduced performance of our transaction systems;</w:t>
      </w:r>
    </w:p>
    <w:p>
      <w:pPr>
        <w:ind w:left="980" w:hanging="324"/>
        <w:spacing w:after="0"/>
        <w:tabs>
          <w:tab w:leader="none" w:pos="9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exposure to cybersecurity risks, risks of data loss and other security breaches;</w:t>
      </w:r>
    </w:p>
    <w:p>
      <w:pPr>
        <w:spacing w:after="0" w:line="9"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risk that we may be required to recognize losses relating to our equity and debt investments;</w:t>
      </w:r>
    </w:p>
    <w:p>
      <w:pPr>
        <w:spacing w:after="0" w:line="15" w:lineRule="exact"/>
        <w:rPr>
          <w:rFonts w:ascii="Times New Roman" w:cs="Times New Roman" w:eastAsia="Times New Roman" w:hAnsi="Times New Roman"/>
          <w:sz w:val="18"/>
          <w:szCs w:val="18"/>
          <w:i w:val="1"/>
          <w:iCs w:val="1"/>
          <w:color w:val="auto"/>
        </w:rPr>
      </w:pPr>
    </w:p>
    <w:p>
      <w:pPr>
        <w:ind w:left="980" w:right="420" w:hanging="324"/>
        <w:spacing w:after="0" w:line="236" w:lineRule="auto"/>
        <w:tabs>
          <w:tab w:leader="none" w:pos="975" w:val="left"/>
        </w:tabs>
        <w:numPr>
          <w:ilvl w:val="0"/>
          <w:numId w:val="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i w:val="1"/>
          <w:iCs w:val="1"/>
          <w:color w:val="auto"/>
        </w:rPr>
        <w:t>the impacts that we would experience if governmental entities or providers of consumer devices and internet browsers further restrict or regulate the use of "cookie" tracking technologies;</w:t>
      </w:r>
    </w:p>
    <w:p>
      <w:pPr>
        <w:spacing w:after="0" w:line="1" w:lineRule="exact"/>
        <w:rPr>
          <w:rFonts w:ascii="Times New Roman" w:cs="Times New Roman" w:eastAsia="Times New Roman" w:hAnsi="Times New Roman"/>
          <w:sz w:val="22"/>
          <w:szCs w:val="22"/>
          <w:i w:val="1"/>
          <w:iCs w:val="1"/>
          <w:color w:val="auto"/>
        </w:rPr>
      </w:pPr>
    </w:p>
    <w:p>
      <w:pPr>
        <w:ind w:left="980" w:right="560" w:hanging="324"/>
        <w:spacing w:after="0" w:line="241"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that any litigation, claims, or regulatory matters could have on our business, financial condition, results of operations, and cash flows;</w:t>
      </w:r>
    </w:p>
    <w:p>
      <w:pPr>
        <w:spacing w:after="0" w:line="1" w:lineRule="exact"/>
        <w:rPr>
          <w:rFonts w:ascii="Times New Roman" w:cs="Times New Roman" w:eastAsia="Times New Roman" w:hAnsi="Times New Roman"/>
          <w:sz w:val="18"/>
          <w:szCs w:val="18"/>
          <w:i w:val="1"/>
          <w:iCs w:val="1"/>
          <w:color w:val="auto"/>
        </w:rPr>
      </w:pPr>
    </w:p>
    <w:p>
      <w:pPr>
        <w:ind w:left="980" w:hanging="324"/>
        <w:spacing w:after="0" w:line="236" w:lineRule="auto"/>
        <w:tabs>
          <w:tab w:leader="none" w:pos="9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inability to optimize and effectively operate our distribution center, warehouse, and customer service operations;</w:t>
      </w:r>
    </w:p>
    <w:p>
      <w:pPr>
        <w:ind w:left="980" w:hanging="324"/>
        <w:spacing w:after="0"/>
        <w:tabs>
          <w:tab w:leader="none" w:pos="9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failures to effectively utilize technological advancements;</w:t>
      </w:r>
    </w:p>
    <w:p>
      <w:pPr>
        <w:spacing w:after="0" w:line="7" w:lineRule="exact"/>
        <w:rPr>
          <w:rFonts w:ascii="Times New Roman" w:cs="Times New Roman" w:eastAsia="Times New Roman" w:hAnsi="Times New Roman"/>
          <w:sz w:val="18"/>
          <w:szCs w:val="18"/>
          <w:i w:val="1"/>
          <w:iCs w:val="1"/>
          <w:color w:val="auto"/>
        </w:rPr>
      </w:pPr>
    </w:p>
    <w:p>
      <w:pPr>
        <w:ind w:left="980" w:hanging="324"/>
        <w:spacing w:after="0" w:line="230" w:lineRule="auto"/>
        <w:tabs>
          <w:tab w:leader="none" w:pos="98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negative economic consequences of various global conflicts;</w:t>
      </w:r>
    </w:p>
    <w:p>
      <w:pPr>
        <w:spacing w:after="0" w:line="14" w:lineRule="exact"/>
        <w:rPr>
          <w:rFonts w:ascii="Arial" w:cs="Arial" w:eastAsia="Arial" w:hAnsi="Arial"/>
          <w:sz w:val="22"/>
          <w:szCs w:val="22"/>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negative consequences associated with our determination to partially self-insure our employee's health insurance;</w:t>
      </w:r>
    </w:p>
    <w:p>
      <w:pPr>
        <w:spacing w:after="0" w:line="8"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possibility that we may be unable to protect our proprietary technology and to obtain trademark protection for our marks;</w:t>
      </w:r>
    </w:p>
    <w:p>
      <w:pPr>
        <w:spacing w:after="0" w:line="9"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current and future claims of intellectual property infringement to which we are subject;</w:t>
      </w:r>
    </w:p>
    <w:p>
      <w:pPr>
        <w:spacing w:after="0" w:line="9" w:lineRule="exact"/>
        <w:rPr>
          <w:rFonts w:ascii="Times New Roman" w:cs="Times New Roman" w:eastAsia="Times New Roman" w:hAnsi="Times New Roman"/>
          <w:sz w:val="18"/>
          <w:szCs w:val="18"/>
          <w:i w:val="1"/>
          <w:iCs w:val="1"/>
          <w:color w:val="auto"/>
        </w:rPr>
      </w:pPr>
    </w:p>
    <w:p>
      <w:pPr>
        <w:ind w:left="980" w:right="560" w:hanging="324"/>
        <w:spacing w:after="0" w:line="250"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difficulties we may encounter as a result of our reliance on third-parties that we do not control for their representations regarding product compliance with various laws and regulations;</w:t>
      </w:r>
    </w:p>
    <w:p>
      <w:pPr>
        <w:ind w:left="980" w:right="280" w:hanging="324"/>
        <w:spacing w:after="0" w:line="250"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difficulties we may encounter as a result of our evolving business practices, including the expansion of our products and service offerings, our continuing expansion into international markets, and our changing approach to the sale of non-home items and sales under the Overstock brand;</w:t>
      </w:r>
    </w:p>
    <w:p>
      <w:pPr>
        <w:spacing w:after="0" w:line="1" w:lineRule="exact"/>
        <w:rPr>
          <w:rFonts w:ascii="Times New Roman" w:cs="Times New Roman" w:eastAsia="Times New Roman" w:hAnsi="Times New Roman"/>
          <w:sz w:val="18"/>
          <w:szCs w:val="18"/>
          <w:i w:val="1"/>
          <w:iCs w:val="1"/>
          <w:color w:val="auto"/>
        </w:rPr>
      </w:pPr>
    </w:p>
    <w:p>
      <w:pPr>
        <w:ind w:left="980" w:right="700" w:hanging="324"/>
        <w:spacing w:after="0" w:line="260"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problems associated with our lack of visibility into, and our lack of influence over, our equity method investments, including our reliance on third-parties to timely and accurately report material events to us;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4" w:name="page5"/>
    <w:bookmarkEnd w:id="4"/>
    <w:p>
      <w:pPr>
        <w:ind w:left="980" w:right="320" w:hanging="324"/>
        <w:spacing w:after="0" w:line="262" w:lineRule="auto"/>
        <w:tabs>
          <w:tab w:leader="none" w:pos="97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inability of Pelion Venture Partners to successfully manage the Medici Ventures, L.P. fund, in which we are the limited partner, or any other entity in which we also have a direct minority interest; and</w:t>
      </w:r>
    </w:p>
    <w:p>
      <w:pPr>
        <w:ind w:left="980" w:hanging="324"/>
        <w:spacing w:after="0"/>
        <w:tabs>
          <w:tab w:leader="none" w:pos="98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other risks described in this report or in our other public filings.</w:t>
      </w:r>
    </w:p>
    <w:p>
      <w:pPr>
        <w:spacing w:after="0" w:line="23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 evaluating all forward-looking statements, you should specifically consider the risks outlined above and in this report, especially under the headings "Special Cautionary Note Regarding Forward-Looking Statements," "Risk Factors," "Legal Proceedings," and "Management's Discussion and Analysis of Financial Condition and Results of Operations." These factors may cause our actual results and outcomes to differ materially from those contemplated by any forward-looking statement. Although we believe that our expectations reflected in the forward-looking statements are reasonable, we cannot guarantee or offer any assurance of future results, levels of activity, performance or achievements or other future events. Our forward-looking statements contained in this report speak only as of the date of this report and, except as required by law, we undertake no obligation to update forward-looking statements to reflect events or circumstances occurring after the date of this report or any changes in our expectations or any change in any events, conditions or circumstances on which any of our forward-looking statements are based.</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9"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4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of our business contains forward-looking statements relating to future events or our future financial or operating performance that involve risks and uncertainties, as set forth above under "Special Note Regarding Forward-Looking Statements." Our actual results could differ materially from those anticipated in these forward-looking statements as a result of certain factors described in this Annual Report on Form 10-K, including those set forth above in the Special Cautionary Note Regarding Forward-Looking Statements or in Section 1A under the heading "Risk Factors" or elsewhere in this Annual Report on Form 10-K.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Beyond, Inc. is an e-commerce expert with a singular focus: connecting consumers with products and services they love. As the owner of the iconic Bed Bath &amp; Beyond brand and several other brands, we strive to curate an exceptional online shopping experience. Specializing in furniture and home furnishings, Bed Bath &amp; Beyond is a premier online retailer, catering to customers in the United States and Canada. Our e-commerce platform, accessible through our mobile app, www.bedbathandbeyond.com, www.bedbathandbeyond.ca, and www.overstockgovernment.com collectively referred to as the "Website," serves as a gateway for those seeking a diverse array of top-tier, on-trend home products at competitive prices. From furniture, bedding, and bath essentials to patio and outdoor gear, area rugs, tabletop and cookware, décor, storage and organization solutions, small appliances, and home improvement items – we offer an extensive range of furniture and home furnishings to elevate our customers' living spaces within the four corners of their home and the four corners of their property.</w:t>
      </w:r>
    </w:p>
    <w:p>
      <w:pPr>
        <w:spacing w:after="0" w:line="21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company, based in Midvale, Utah, was founded as a Utah limited liability company ("LLC") in 1997, reorganized as a C corporation in the State of Utah in 1998, and reincorporated in Delaware in 2002. We launched our initial website in March 1999. In November 2023, we changed our corporate name from Overstock.com, Inc. to Beyond, Inc., and transferred the principal listing of our common stock from the Nasdaq Global Market to the New York Stock Exchange. Our common stock ceased trading under the ticker symbol "OSTK" on the Nasdaq Global Market at the close of market November 3, 2023 and on November 6, 2023, our common stock began trading under the ticker symbol "BYON" on the New York Stock Exchange. We will not distinguish between our prior and current corporate name and will refer to our current corporate name throughout this Annual Report on Form 10-K. As used herein, "Beyond", "the Company", "we", "our" and similar terms include Beyond, Inc. and its controlled subsidiaries, unless the context indicates otherwise.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mission revolves around delivering an unparalleled shopping experience for furniture and home furnishings and services, tailored especially for our target audience – discerning consumers who seek seamless support in their search for high-quality, stylish home products at competitive prices. Our commitment extends to providing a diverse range of offerings that cater to varied budget requirements.</w:t>
      </w:r>
    </w:p>
    <w:p>
      <w:pPr>
        <w:spacing w:after="0" w:line="20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an ever-evolving market landscape, our focus is on standing out in the online sphere by offering products and services for the home. We believe that our competitive edge lies in the following:</w:t>
      </w:r>
    </w:p>
    <w:p>
      <w:pPr>
        <w:spacing w:after="0" w:line="185" w:lineRule="exact"/>
        <w:rPr>
          <w:sz w:val="20"/>
          <w:szCs w:val="20"/>
          <w:color w:val="auto"/>
        </w:rPr>
      </w:pPr>
    </w:p>
    <w:p>
      <w:pPr>
        <w:jc w:val="both"/>
        <w:ind w:left="660" w:right="320" w:hanging="328"/>
        <w:spacing w:after="0" w:line="25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Simplified Customer Experience: </w:t>
      </w:r>
      <w:r>
        <w:rPr>
          <w:rFonts w:ascii="Times New Roman" w:cs="Times New Roman" w:eastAsia="Times New Roman" w:hAnsi="Times New Roman"/>
          <w:sz w:val="18"/>
          <w:szCs w:val="18"/>
          <w:color w:val="auto"/>
        </w:rPr>
        <w:t>We prioritize an easy, user-friendly interface, emphasizing price, value, and quality. Our extensive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range is delivered in a personalized format, accessible seamlessly through our mobile app, and complemented by our dedicated customer care team.</w:t>
      </w:r>
    </w:p>
    <w:p>
      <w:pPr>
        <w:ind w:left="660" w:right="2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Cutting-edge Technologies: </w:t>
      </w:r>
      <w:r>
        <w:rPr>
          <w:rFonts w:ascii="Times New Roman" w:cs="Times New Roman" w:eastAsia="Times New Roman" w:hAnsi="Times New Roman"/>
          <w:sz w:val="18"/>
          <w:szCs w:val="18"/>
          <w:color w:val="auto"/>
        </w:rPr>
        <w:t>Our proprietary technologies and strategic technical alliances enhance the overall shopping experience, providing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customers with an intuitive and streamlined experience.</w:t>
      </w:r>
    </w:p>
    <w:p>
      <w:pPr>
        <w:ind w:left="660" w:right="2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Specialized Logistics: </w:t>
      </w:r>
      <w:r>
        <w:rPr>
          <w:rFonts w:ascii="Times New Roman" w:cs="Times New Roman" w:eastAsia="Times New Roman" w:hAnsi="Times New Roman"/>
          <w:sz w:val="18"/>
          <w:szCs w:val="18"/>
          <w:color w:val="auto"/>
        </w:rPr>
        <w:t>Our logistics capabilities are finely tuned to the demands of the furniture and home furnishings category, which 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honed over years of e-commerce expertise.</w:t>
      </w:r>
    </w:p>
    <w:p>
      <w:pPr>
        <w:ind w:left="660" w:right="60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Strategic Partnerships: </w:t>
      </w:r>
      <w:r>
        <w:rPr>
          <w:rFonts w:ascii="Times New Roman" w:cs="Times New Roman" w:eastAsia="Times New Roman" w:hAnsi="Times New Roman"/>
          <w:sz w:val="18"/>
          <w:szCs w:val="18"/>
          <w:color w:val="auto"/>
        </w:rPr>
        <w:t>We foster long-term, mutually beneficial relationships with third-party manufacturers, distributors, and suppliers,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referred to as our "partners," as of December 31, 2023. This network forms the backbone of our supply chain, allowing us to consistently meet customer demands. We also partner with third parties to provide various financial products and services.</w:t>
      </w:r>
    </w:p>
    <w:p>
      <w:pPr>
        <w:spacing w:after="0" w:line="1" w:lineRule="exact"/>
        <w:rPr>
          <w:rFonts w:ascii="Times New Roman" w:cs="Times New Roman" w:eastAsia="Times New Roman" w:hAnsi="Times New Roman"/>
          <w:sz w:val="18"/>
          <w:szCs w:val="18"/>
          <w:color w:val="auto"/>
        </w:rPr>
      </w:pPr>
    </w:p>
    <w:p>
      <w:pPr>
        <w:ind w:left="660" w:right="60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Welcome Rewards Loyalty Program: </w:t>
      </w:r>
      <w:r>
        <w:rPr>
          <w:rFonts w:ascii="Times New Roman" w:cs="Times New Roman" w:eastAsia="Times New Roman" w:hAnsi="Times New Roman"/>
          <w:sz w:val="18"/>
          <w:szCs w:val="18"/>
          <w:color w:val="auto"/>
        </w:rPr>
        <w:t>Our customer engagement and retention are bolstered by our Welcome Rewards Loyalty Program,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enhancing the overall value proposition for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6" w:name="page7"/>
    <w:bookmarkEnd w:id="6"/>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continually expand our product assortment, reaching into the millions, to keep pace with current trends and evolving customer preferences. The vast majority of our retail transactions are fulfilled through our network of partners, who benefit from the access we provide to a large customer base and a suite of convenient services, including marketing, order fulfillment, customer service, and returns handling. Our asset-light supply chain allows us to ship directly to customers from our partners or our warehouses, which primarily handle orders from our partners' owned inventory. Our use of the term "partner" does not mean that we have formed legal partnerships with any of these entities.</w:t>
      </w:r>
    </w:p>
    <w:p>
      <w:pPr>
        <w:spacing w:after="0" w:line="21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2022 and 2021 our sales were almost entirely to customers located in the United States and no single customer accounted for more than 1% of our total net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Offerings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offer additional products or services that may complement our primary retail offerings but are not significant to our revenues, including:</w:t>
      </w:r>
    </w:p>
    <w:p>
      <w:pPr>
        <w:spacing w:after="0" w:line="248" w:lineRule="exact"/>
        <w:rPr>
          <w:sz w:val="20"/>
          <w:szCs w:val="20"/>
          <w:color w:val="auto"/>
        </w:rPr>
      </w:pPr>
    </w:p>
    <w:p>
      <w:pPr>
        <w:ind w:left="660" w:right="400" w:hanging="328"/>
        <w:spacing w:after="0" w:line="26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Advertising Opportunities: </w:t>
      </w:r>
      <w:r>
        <w:rPr>
          <w:rFonts w:ascii="Times New Roman" w:cs="Times New Roman" w:eastAsia="Times New Roman" w:hAnsi="Times New Roman"/>
          <w:sz w:val="18"/>
          <w:szCs w:val="18"/>
          <w:color w:val="auto"/>
        </w:rPr>
        <w:t>Providing businesses with a platform to showcase their products or services on our Website, fostering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exposure and opportunities for collaboration.</w:t>
      </w:r>
    </w:p>
    <w:p>
      <w:pPr>
        <w:ind w:left="660" w:right="18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Marketplace Services: </w:t>
      </w:r>
      <w:r>
        <w:rPr>
          <w:rFonts w:ascii="Times New Roman" w:cs="Times New Roman" w:eastAsia="Times New Roman" w:hAnsi="Times New Roman"/>
          <w:sz w:val="18"/>
          <w:szCs w:val="18"/>
          <w:color w:val="auto"/>
        </w:rPr>
        <w:t>Offering a unique service to our partners, enabling them to showcase and sell their products on third-party sites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Marketplace, creating additional avenues for sales and visibility.</w:t>
      </w:r>
    </w:p>
    <w:p>
      <w:pPr>
        <w:ind w:left="660" w:right="68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International Sales Support: </w:t>
      </w:r>
      <w:r>
        <w:rPr>
          <w:rFonts w:ascii="Times New Roman" w:cs="Times New Roman" w:eastAsia="Times New Roman" w:hAnsi="Times New Roman"/>
          <w:sz w:val="18"/>
          <w:szCs w:val="18"/>
          <w:color w:val="auto"/>
        </w:rPr>
        <w:t>Facilitating international sales for certain customers outside the United States through third-party logistics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providers, broadening our reach and enhancing global accessibility.</w:t>
      </w:r>
    </w:p>
    <w:p>
      <w:pPr>
        <w:ind w:left="660" w:right="380" w:hanging="328"/>
        <w:spacing w:after="0" w:line="25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Supplier Oasis Integration: </w:t>
      </w:r>
      <w:r>
        <w:rPr>
          <w:rFonts w:ascii="Times New Roman" w:cs="Times New Roman" w:eastAsia="Times New Roman" w:hAnsi="Times New Roman"/>
          <w:sz w:val="18"/>
          <w:szCs w:val="18"/>
          <w:color w:val="auto"/>
        </w:rPr>
        <w:t>Our Supplier Oasis platform, a singular integration point that empowers our partners to efficiently manage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inventory, and sales channels. This streamlined interface also provides access to multi-channel fulfillment services through our expansive distribution network, enhancing operational efficiency for our valued partners.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Manufacturer, Distributor, and Supplier Relationships</w:t>
      </w:r>
    </w:p>
    <w:p>
      <w:pPr>
        <w:spacing w:after="0" w:line="256"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We proactively cultivate and nurture relationships with manufacturers, distributors, and suppliers to help ensure an uninterrupted stream of diverse product offerings for our customers. While our manufacturers, distributors, and suppliers regularly update us on the available product quantities, our arrangements with them typically do not guarantee the sustained availability of these products over a predetermined period. Our relationships are generally non-exclusive. This allows us the flexibility to exercise discretion in selecting and changing suppliers based on our evolving needs. The terms under which products are sold through our Website are predominantly under our control rather than controlled by our manufacturers, distributors, and suppliers.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5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employ a diverse array of strategies to engage our retail consumer audience, using both traditional and digital channels. Our outreach spans targeted direct mail and online initiatives, encompassing search engine marketing, display ads, affiliate marketing, e-mail campaigns, and social media promotions. Additionally, we enhance brand visibility through comprehensive advertising efforts across television, video ads, streaming video and audio platforms, social media channels, and strategic event sponsorships.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Service</w:t>
      </w:r>
    </w:p>
    <w:p>
      <w:pPr>
        <w:spacing w:after="0" w:line="256"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Our commitment to delivering unparalleled customer service extends across multiple channels, including our app, Website, and customer service department. Staffed by a team of dedicated in-house and outsourced professionals, we seek to ensure prompt and thorough responses to customer inquiries via phone, SMS, instant online chat, and e-mail to address product information, order details, shipping status, returns, and various other customer queries.</w:t>
      </w:r>
    </w:p>
    <w:p>
      <w:pPr>
        <w:spacing w:after="0" w:line="203"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In addition to our in-house services, we have trusted partners who independently manage their customer service requests. We uphold these partners to the same high standards as our internal customer service operations.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use our internally developed Website alongside a dynamic blend of proprietary technologies, open source solutions, and commercially licensed technologies to bolster our operational capabilities. We maintain connectivity to the Internet through partnerships with multiple telecommunications companies, promoting seamless access.</w:t>
      </w:r>
    </w:p>
    <w:p>
      <w:pPr>
        <w:spacing w:after="0" w:line="20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primary computer infrastructure is in a data center in Utah. We leverage additional data centers and tap into the resources of public cloud providers which play a pivotal role in functions such as backups, redundancy measures, development and testing environments, disaster recovery protocols, and the overarching support of our corporate systems infrastructure.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E-commerce is intensely competitive and has relatively low barriers to entry. We believe that competition in this industry is based predominantly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w:t>
      </w:r>
    </w:p>
    <w:p>
      <w:pPr>
        <w:spacing w:after="0" w:line="234"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and relevant home financial products and services quality and assortment;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shopping convenience and product findability;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organization and experience;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 processing and fulfillment;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 delivery time and accuracy;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functionality on mobile devices;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reputation.</w:t>
      </w:r>
    </w:p>
    <w:p>
      <w:pPr>
        <w:spacing w:after="0" w:line="234"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compete with a diverse range of discount general retailers, off-price and club retailers, private sales platforms, specialty retailers, and liquidators in the online pure-play, brick-and-mortar, and omni-channel retail spheres, where the potential exists for competitors to emulate our strategies and target our customer base.</w:t>
      </w:r>
    </w:p>
    <w:p>
      <w:pPr>
        <w:spacing w:after="0" w:line="20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current and potential e-commerce competitors include entities that may have greater brand recognition, longer operating histories, larger customer bases, and significantly greater financial, marketing, and other resources than we do. Further, any of them may enter into strategic or commercial relationships with larger, more established and well-financed companies, including exclusive distribution arrangements with our vendors or service suppliers that could deny us access to key products or needed services, or acquisitions of our suppliers or service providers, having the same effect. Many of them do or could devote greater resources to marketing and promotional campaigns and devote substantially more resources to their websites and systems development than we do. Many have supply chain operations that decrease product shipping times to their customers, have options for in-store product pick-up, allow in-store returns, or offer other delivery and returns options that we do not have. New technologies, the continued enhancement of existing technologies, developments in related areas such as same-day product deliveries, and the development of proprietary delivery systems increase competitive pressures on 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Trade Secrets</w:t>
      </w:r>
    </w:p>
    <w:p>
      <w:pPr>
        <w:spacing w:after="0" w:line="25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regard our domain names and other intellectual property as critical to our success. We rely on a combination of laws and contractual restrictions with our employees, customers, suppliers, affiliates, and others to establish and protect our proprietary rights, including the law pertaining to trade secrets.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Government Regulation and Legal Matters</w:t>
      </w:r>
    </w:p>
    <w:p>
      <w:pPr>
        <w:spacing w:after="0" w:line="2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are subject to a wide variety of laws, rules, mandates, and regulations, some of which apply or may apply to us as a result of our business, and others of which apply to us for other reasons, such as our status as a publicly held company or the places in which we sell certain types or amounts of products. Our business is subject to general business regulations and laws, and regulations and laws specifically governing the internet, e-commerce, and other financial products and services we offer or may offer. Existing and future laws and regulations may result in increasing expense and may impede our growth. Applicable and potentially applicable regulations and laws include regulations and laws regarding taxation, privacy, data protection, pricing, content, copyrights, distribution, mobile communications, electronic device certification, electronic waste, energy consumption, environmental regulation, electronic contracts and other communications, competition, consumer protection, employment, import and export matters, information reporting requirements, access to our services and facilities, the design and operation of websites, health, safety, and sanitation standards, the characteristics and quality of products and services, product labeling and unfair and deceptive trade practices.</w:t>
      </w:r>
    </w:p>
    <w:p>
      <w:pPr>
        <w:spacing w:after="0" w:line="21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business outside of the U.S. exposes us to foreign and additional U.S. laws and regulations, including but not limited to, laws and regulations relating to taxation, business licensing or certification requirements, advertising practices, online services, the use of cryptocurrency, the importation of specified or proscribed items, importation quotas, consumer protection, intellectual property rights, consumer and data protection, privacy, encryption, restrictions on pricing or discounts, and the U.S. Foreign Corrupt Practices Act and other applicable U.S. and foreign laws prohibiting corrupt payments to government officials and other third parties.</w:t>
      </w:r>
    </w:p>
    <w:p>
      <w:pPr>
        <w:spacing w:after="0" w:line="21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receive claims and become subject to regulatory investigations or other governmental actions, consumer protection, employment, intellectual property, and other commercial litigation related to the conduct of our business. We periodically prosecute lawsuits to enforce our legal rights. These matters and other types of claims could result in legal expenses, fines, adverse judgments or settlements and increase the cost of doing business. They could also require us to change our business practices in expensive and significant ways. In addition, litigation could result in legal outcomes or interpretations of the law that may limit our current or future business, require us to change our business practices, or increase our costs or otherwise adversely impact our business.</w:t>
      </w:r>
    </w:p>
    <w:p>
      <w:pPr>
        <w:spacing w:after="0" w:line="214"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further information, see (Item 1A—"Risk Factors") and the information set forth under Item 8 of Part II, "Financial Statements and Supplementary Data"—Note 16—Commitments and Contingencies, </w:t>
      </w:r>
      <w:r>
        <w:rPr>
          <w:rFonts w:ascii="Times New Roman" w:cs="Times New Roman" w:eastAsia="Times New Roman" w:hAnsi="Times New Roman"/>
          <w:sz w:val="18"/>
          <w:szCs w:val="18"/>
          <w:i w:val="1"/>
          <w:iCs w:val="1"/>
          <w:color w:val="auto"/>
        </w:rPr>
        <w:t>Legal proceedings and contingencies</w:t>
      </w:r>
      <w:r>
        <w:rPr>
          <w:rFonts w:ascii="Times New Roman" w:cs="Times New Roman" w:eastAsia="Times New Roman" w:hAnsi="Times New Roman"/>
          <w:sz w:val="18"/>
          <w:szCs w:val="18"/>
          <w:color w:val="auto"/>
        </w:rPr>
        <w:t>, contained in the "Notes to Consolidated Financial Statements" of this Annual Report on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5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On December 31, 2023, we had approximately 830 full-time employees. We have never had a work stoppage and none of our employees are represented by a labor union. We consider our employee relations to be good. Competition for qualified personnel in our industry is high, particularly for software engineers and other technical staff. Beyond places great value on its human capital management and knows its people are critical to driving the business to success. We focus on our human capital management in many ways, including: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&amp; Inclusion</w:t>
      </w:r>
    </w:p>
    <w:p>
      <w:pPr>
        <w:spacing w:after="0" w:line="25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embrace diversity and collaboration in our workforce, our ways of thinking, and our decision-making. We know that fostering an inclusive culture delivers better business outcomes. We are committed to creating a workplace that values and celebrates the unique backgrounds, perspectives, and experiences of our employees. Our commitments to improving diversity include 1) increasing the diversity of our team at all levels, 2) continuing real and meaningful gender and race dialogue within our Company, 3) amplifying the voices of our underrepresented groups of employees, 4) fostering inclusion and safety within our workforce, 5) continuing to condemn all forms of gender and racial discrimination and harassment, 6) encouraging our employees to vote by utilizing their flexible time away or voting time off, 7) fostering an inclusive work environment where every employee feels valued and respected, and 8) tracking and monitoring our progress. Among the many ways we demonstrate these commitments are through our hiring and development practices, flexible and working-parent-friendly programs, anti-discrimination policies, a focus on pay equity, promoting mentorship programs to support career growth, conducting diversity and inclusion training for all employees and efforts of our employee resource groups.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9" w:name="page10"/>
    <w:bookmarkEnd w:id="9"/>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view diversity and inclusion as a competitive advantage that drives innovation, creativity, and success. We are dedicated to creating a workplace where everyone has the opportunity to thrive, and we believe that our commitment to diversity and inclusion will contribute to our long-term growth and sustainability. Through our commitments, actions, words, investments, and values, we promote a work environment that enables employees to feel safe to express their ideas and perspectives and feel they belong within our team.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Workforce Compensation &amp; Pay Equity</w:t>
      </w:r>
    </w:p>
    <w:p>
      <w:pPr>
        <w:spacing w:after="0" w:line="25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total rewards philosophy of Beyond is to create and maintain competitive programs that attract, motivate, develop, and retain employees based on the prevailing industry and geographic labor markets where the Company does business. Our competitive compensation programs consist of cash and non-cash compensation based on relevant pay factors designed to balance market competitiveness and cost containment to incentivize achievement of business performance goals and objectives and to aid in retaining human capital. We designed our total rewards to link the market competitiveness of an employee's compensation with overall Company performance, aligning employees' financial interests with the interests of the Company.</w:t>
      </w:r>
    </w:p>
    <w:p>
      <w:pPr>
        <w:spacing w:after="0" w:line="21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Elements of our compensation package for all non-executive employees consists of base salary or wages, short-term bonus incentives to reward the achievement of key business objectives, and for eligible key contributors, long-term equity incentives.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monitor changes in the value of each employee's job annually and adjust base pay and short-term incentives based on a combination of employee performance to pre-determined goals and the Company's overall performance to broader financial and operational goals and objectives. We determine external market competitiveness by gathering salary information from professionally managed third-party salary surveys and by determining pay for individual employees based on their skill level, experience, education, and any other relevant compensatory factors. We balance internal pay equity with external pay equity to ensure compensation is fairly and equitably dispersed.</w:t>
      </w:r>
    </w:p>
    <w:p>
      <w:pPr>
        <w:spacing w:after="0" w:line="21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Management is committed to the proposition that the total rewards of every employee in pay and benefits are equitably distributed regardless of their race, gender, gender identity, sexual orientation, religion, national origin, color, veteran status, age, or disability. Furthermore, to ensure the commitment to pay equity is aggressively pursued, we define appropriate metrics to track progress. The Human Resources Department prepares periodic reports for senior leadership and the Board of Directors to report progress toward equitable pay, promotions, and opportunities.</w:t>
      </w:r>
    </w:p>
    <w:p>
      <w:pPr>
        <w:spacing w:after="0" w:line="20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offer all employees the ability to save for retirement by matching dollar for dollar up to 6% of their savings into a qualified savings plan up to certain pre-determined limits set by the IRS. For highly compensated employees who meet the salary threshold set by the IRS and who choose to continue pre-tax savings above the qualified savings plan limits, eligible employees can participate in a non-qualified tax deferred savings plan to save for future needs.</w:t>
      </w:r>
    </w:p>
    <w:p>
      <w:pPr>
        <w:spacing w:after="0" w:line="20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Our intention is to offer every employee fair and equitable cash compensation and competitive non-cash benefits to help employees manage the wealth, health, and wellness of both themselves and their families.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Acquisition &amp; Retention</w:t>
      </w:r>
    </w:p>
    <w:p>
      <w:pPr>
        <w:spacing w:after="0" w:line="25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work diligently to attract the best talent from a diverse range of sources and locations in order to meet the current and future demands of our business. We now recruit talent from twenty-three states across the United States and the Republic of Ireland, as much of our workforce can work in a mostly remote arrangement. We are establishing relationships with universities, professional associations, and industry groups to proactively attract talent. We look for ways to improve our recruiting process regularly and ensure each applicant feels welcome and comfortable through the recruiting process. Our panel interviews are set up with a diverse group of interviewers to ensure for the best candidate experience. We have taken the ParityPledge in support of women and in support of people of color, demonstrating our commitment to improve the opportunity for advancement of women and people of color into senior leadership positions.</w:t>
      </w:r>
    </w:p>
    <w:p>
      <w:pPr>
        <w:spacing w:after="0" w:line="21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have a strong employee value proposition that leverages our culture, shared alignment to critical business and financial objective and goals, collaborative and flexible working environment, shared sense of purpose, desire to do the right thing and innovative work to attract talent to our company. We empower employees to find new and better ways of doing things and the scale of our business means that careers can develop in exciting and unexpected directions. To ensure the long-term continuity of our business, we actively manage the development of existing talent to fill the roles that are most critical to the on-going success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Our employees have an average tenure of six and a half years overall, with an average tenure of six years in our customer service and warehouse departments.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Safety &amp; Wellness</w:t>
      </w:r>
    </w:p>
    <w:p>
      <w:pPr>
        <w:spacing w:after="0" w:line="25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Creating a culture where all employees feel supported and valued is a key part of our Company mission. We continue to evolve our programs to meet our employees' wealth, health, and wellness needs, which we believe is essential to attract and retain employees of the highest caliber, and we offer a competitive benefits package focused on fostering work/life integration. We offer comprehensive benefit options to our employees and their families to live healthier and more secure lives. Some of the various insurances we offer include medical, dental, and vision, among others, along with health savings accounts, flexible spending accounts and generous 401(k) matching and employee stock purchase plan (ESPP) programs. In addition to these more traditional benefits offerings, we also have programs that encourage better work/life balance. These benefits include an expanded employee assistance program (EAP) to better align with our national employee base and a 9/80 flexible work schedule. We offer family planning services including fertility coverage to assist potential parents. We offer paid parental leave for all new parents who have been with the Company for at least a year to ensure they are able to adjust to a new work/life balance. We also offer a caregiver benefit to parents who need to travel for work, which allows employees who have a child under the age of two to travel with the employee. In January 2024, we expanded our benefits to include a flexible work schedule by offering flexible time away (unlimited) to all exempt employees, to allow our employees maximum flexibility and trust in our performance-based culture. Additionally, we recently launched an employee volunteer program, We Go Beyond, pursuant to which each full-time employee spends at least 32 hours a year of work time volunteering for an organization of choice in their community.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&amp; Training</w:t>
      </w:r>
    </w:p>
    <w:p>
      <w:pPr>
        <w:spacing w:after="0" w:line="25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recognize how important it is for our employees to develop and progress in their careers. We provide a variety of resources to help our employees grow in their current roles and build new skills, including online development resources from a competency model development library to hundreds of online courses in our learning management system. We emphasize individual development planning as part of our annual goal setting process, and offer mentoring programs, along with change management and project management upskilling opportunities. We have leadership development resources for all leaders across the organization and continue to build tools for leaders to develop their teams on the job and in roles to create new opportunities to learn and grow. We also encourage higher education and continuing professional education by subsidizing these opportunities for our employees.</w:t>
      </w:r>
    </w:p>
    <w:p>
      <w:pPr>
        <w:spacing w:after="0" w:line="216"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We conduct annual Diversity and Inclusion training that emphasizes the value of embracing diverse perspectives and talents within our organization, regardless of race, sexual orientation, gender, religion, or other differences. This training aims to strengthen our Company by fostering inclusivity and understanding among our employees.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Culture</w:t>
      </w:r>
    </w:p>
    <w:p>
      <w:pPr>
        <w:spacing w:after="0" w:line="25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attribute the high levels of employee engagement to our corporate culture. We strive for a work environment that is performance-based, results-driven, inclusive, agile, and collaborative. Our corporate vision, mission, values, leadership principles, and employee qualities help define who we are, where we are going, and the behavior we expect of the Company and our employees to be successful in the organization.</w:t>
      </w:r>
    </w:p>
    <w:p>
      <w:pPr>
        <w:spacing w:after="0" w:line="20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To fulfill the long-term financial goals of the Company, we focus on our mission of being a customer-focused online furniture and home furnishings retailer providing a broad assortment of products and services for the home, our leading technology-focused innovation capabilities, and creating enterprise value. Our values articulate our commitment to an inclusive, outcome-driven work environment, and embody our "becoming" culture and spirit. Our three leadership principles guide our interactions with colleagues, creating a psychologically safe environment for productive and collaborative exchanges for improved outcomes. We strive to clearly define, look for, measure, and develop ten qualities in our employees so that we all become empowered to be effective and valuable contributors in the organization. We believe this culture allows us to attract, develop, engage, and retain highly qualified employees for each role in the organization. Our goal is for every employee to feel they are a valued and empowered member of a winning team, doing meaningful work, in an environment of trust. The Company endeavors to regularly reinforce this culture throughout the entire employee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Oversight &amp; Governance</w:t>
      </w:r>
    </w:p>
    <w:p>
      <w:pPr>
        <w:spacing w:after="0" w:line="25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focus on human capital management has been a hallmark of the Company for years, understanding that people truly are a Company's most valuable asset, and that culture is an organization's ultimate competitive advantage. Our 401(k) committee meets quarterly to review the plan and determine if any changes need to be made to the portfolio, in order to best serve our employees. Our board of directors dedicates significant time in quarterly meetings with management to discuss trends in hiring, engagement, and attrition. Our Compensation Committee is actively involved in determining competitive compensation strategies to help us continually improve in attracting, developing, and retaining top talent for our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persons were executive officers of Beyond as of February 23, 2024:</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780" w:type="dxa"/>
            <w:vAlign w:val="bottom"/>
          </w:tcPr>
          <w:p>
            <w:pPr>
              <w:ind w:left="35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3"/>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 Bollom</w:t>
            </w:r>
          </w:p>
        </w:tc>
        <w:tc>
          <w:tcPr>
            <w:tcW w:w="14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40" w:type="dxa"/>
            <w:vAlign w:val="bottom"/>
            <w:tcBorders>
              <w:top w:val="single" w:sz="8" w:color="CCEEFF"/>
            </w:tcBorders>
            <w:shd w:val="clear" w:color="auto" w:fill="CCEEFF"/>
          </w:tcPr>
          <w:p>
            <w:pPr>
              <w:spacing w:after="0"/>
              <w:rPr>
                <w:sz w:val="19"/>
                <w:szCs w:val="19"/>
                <w:color w:val="auto"/>
              </w:rPr>
            </w:pPr>
          </w:p>
        </w:tc>
        <w:tc>
          <w:tcPr>
            <w:tcW w:w="7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Merchandising Officer</w:t>
            </w:r>
          </w:p>
        </w:tc>
      </w:tr>
      <w:tr>
        <w:trPr>
          <w:trHeight w:val="229"/>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Chandra Holt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4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Division Chief Executive Officer, Bed Bath &amp; Beyond (Co-Principal Executive Officer)</w:t>
            </w:r>
          </w:p>
        </w:tc>
      </w:tr>
      <w:tr>
        <w:trPr>
          <w:trHeight w:val="229"/>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Adrianne Lee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40" w:type="dxa"/>
            <w:vAlign w:val="bottom"/>
            <w:shd w:val="clear" w:color="auto" w:fill="CCEEFF"/>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&amp; Administrative Officer (Principal Financial Officer and Principal Accounting Officer)</w:t>
            </w:r>
          </w:p>
        </w:tc>
      </w:tr>
      <w:tr>
        <w:trPr>
          <w:trHeight w:val="23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Marcus Lemonis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4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r>
      <w:tr>
        <w:trPr>
          <w:trHeight w:val="229"/>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 Glen Nickle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40" w:type="dxa"/>
            <w:vAlign w:val="bottom"/>
            <w:shd w:val="clear" w:color="auto" w:fill="CCEEFF"/>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23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Dave Nielsen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4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Division Chief Executive Officer, Overstock (Co-Principal Executive Officer)</w:t>
            </w:r>
          </w:p>
        </w:tc>
      </w:tr>
      <w:tr>
        <w:trPr>
          <w:trHeight w:val="229"/>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Carlisha Robinson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40" w:type="dxa"/>
            <w:vAlign w:val="bottom"/>
            <w:shd w:val="clear" w:color="auto" w:fill="CCEEFF"/>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Product Officer</w:t>
            </w:r>
          </w:p>
        </w:tc>
      </w:tr>
    </w:tbl>
    <w:p>
      <w:pPr>
        <w:spacing w:after="0" w:line="317" w:lineRule="exact"/>
        <w:rPr>
          <w:sz w:val="20"/>
          <w:szCs w:val="20"/>
          <w:color w:val="auto"/>
        </w:rPr>
      </w:pPr>
    </w:p>
    <w:p>
      <w:pPr>
        <w:ind w:right="3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Deb Bollom </w:t>
      </w:r>
      <w:r>
        <w:rPr>
          <w:rFonts w:ascii="Times New Roman" w:cs="Times New Roman" w:eastAsia="Times New Roman" w:hAnsi="Times New Roman"/>
          <w:sz w:val="18"/>
          <w:szCs w:val="18"/>
          <w:color w:val="auto"/>
        </w:rPr>
        <w:t>joined Beyond as our Chief Merchandising Officer in July 2023. Prior to joining Beyond, Bollom served as Vice President, Target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Sourcing Services, at Target Corporation from June 2011 to November 2020 and held other roles at Target Corporation including Vice President, Merchandising, Domestics and Vice President, Merchandising, Newborn/Infant/Toddler.</w:t>
      </w:r>
    </w:p>
    <w:p>
      <w:pPr>
        <w:spacing w:after="0" w:line="200"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Chandra Holt </w:t>
      </w:r>
      <w:r>
        <w:rPr>
          <w:rFonts w:ascii="Times New Roman" w:cs="Times New Roman" w:eastAsia="Times New Roman" w:hAnsi="Times New Roman"/>
          <w:sz w:val="18"/>
          <w:szCs w:val="18"/>
          <w:color w:val="auto"/>
        </w:rPr>
        <w:t>was appointed as our Division Chief Executive Officer, Bed Bath &amp; Beyond on February 20, 2024. Prior to joining Beyond, Holt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Founder of Incredibrew from October 2022 to present. Holt served as Chief Executive Officer and President of Conn's, Inc., from August 2021 to October 2022. From January 2020 to August 2021, Holt served as Executive Vice President, Chief Merchandising and Integration Officer, Walmart.com at Walmart, Inc. From August 2018 to January 2020, Holt served as Senior Vice President, Chief Operating Officer of Samsclub.com. Holt also served as Senior Vice President, GMM—Grocery of Sam's Club from May 2017 to August 2018 and as Vice President, Proprietary Brands of Sam's Club from August 2015 to May 2017.</w:t>
      </w:r>
    </w:p>
    <w:p>
      <w:pPr>
        <w:spacing w:after="0" w:line="20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Adrianne Lee </w:t>
      </w:r>
      <w:r>
        <w:rPr>
          <w:rFonts w:ascii="Times New Roman" w:cs="Times New Roman" w:eastAsia="Times New Roman" w:hAnsi="Times New Roman"/>
          <w:sz w:val="18"/>
          <w:szCs w:val="18"/>
          <w:color w:val="auto"/>
        </w:rPr>
        <w:t>was appointed as our Chief Financial &amp; Administrative Officer in February 2024, and previously served as Chief Financial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March 2020 to February 2024. Prior to joining Beyond, Lee served as Senior Vice President and CFO of North America RAC from December 2018 to March 2020 and as Vice President—Global Financial Planning and Analysis and Corporate Development from December 2017 to December 2018 at The Hertz Corporation.</w:t>
      </w:r>
    </w:p>
    <w:p>
      <w:pPr>
        <w:spacing w:after="0" w:line="207"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Marcus Lemonis </w:t>
      </w:r>
      <w:r>
        <w:rPr>
          <w:rFonts w:ascii="Times New Roman" w:cs="Times New Roman" w:eastAsia="Times New Roman" w:hAnsi="Times New Roman"/>
          <w:sz w:val="18"/>
          <w:szCs w:val="18"/>
          <w:color w:val="auto"/>
        </w:rPr>
        <w:t>was appointed as the Executive Chairman of the Board of Directors of Beyond, effective February 20, 2024. Lemonis joined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on October 2, 2023, and has served as Chairman of the Board since December 10, 2023. Lemonis has served as the Chief Executive Officer and Chairman of the Board of Camping World Holdings, Inc. since 2002.</w:t>
      </w:r>
    </w:p>
    <w:p>
      <w:pPr>
        <w:spacing w:after="0" w:line="200"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 Glen Nickle </w:t>
      </w:r>
      <w:r>
        <w:rPr>
          <w:rFonts w:ascii="Times New Roman" w:cs="Times New Roman" w:eastAsia="Times New Roman" w:hAnsi="Times New Roman"/>
          <w:sz w:val="18"/>
          <w:szCs w:val="18"/>
          <w:color w:val="auto"/>
        </w:rPr>
        <w:t>has served as our Chief Legal Officer and Corporate Secretary since February 2021, and previously served as Vice President,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General Counsel from July 2016 to February 2021. Nickle started with Beyond in May 2010 as Associate General Counsel. Prior to joining Beyond, Nickle served as Associate General Counsel at ICON Health &amp; Fitness, Inc.</w:t>
      </w:r>
    </w:p>
    <w:p>
      <w:pPr>
        <w:spacing w:after="0" w:line="20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Dave Nielsen </w:t>
      </w:r>
      <w:r>
        <w:rPr>
          <w:rFonts w:ascii="Times New Roman" w:cs="Times New Roman" w:eastAsia="Times New Roman" w:hAnsi="Times New Roman"/>
          <w:sz w:val="18"/>
          <w:szCs w:val="18"/>
          <w:color w:val="auto"/>
        </w:rPr>
        <w:t>was appointed as our Division Chief Executive Officer, Overstock in February 2024. Prior to that, Nielsen served as Interim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and President from November 2023 to February 2024, and served as our President from May 2019. Nielsen previously served as our Chief Sourcing and Operations Officer from October 2018 to May 2019, having returned to Beyond after serving as the Chief Executive Officer and board member for Global Access from July 2015 to October 2018. Nielsen originally joined Beyond in 2009 and previously served as our Senior Vice President of Business Development, Senior Vice President and General Merchandise Manager and Co-President.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12" w:name="page13"/>
    <w:bookmarkEnd w:id="12"/>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Carlisha Robinson </w:t>
      </w:r>
      <w:r>
        <w:rPr>
          <w:rFonts w:ascii="Times New Roman" w:cs="Times New Roman" w:eastAsia="Times New Roman" w:hAnsi="Times New Roman"/>
          <w:sz w:val="18"/>
          <w:szCs w:val="18"/>
          <w:color w:val="auto"/>
        </w:rPr>
        <w:t>was appointed as our Chief Product Officer in August 2022. Prior to joining Beyond, Robinson served as Vice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at Volusion from July 2020 to July 2022, and Senior Director of Product Management at CPA Global (Innography) from November 2015 to July 2018.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make our Annual Report on Form 10-K, Quarterly Reports on Form 10-Q, Current Reports on Form 8-K and amendments to those reports filed or furnished pursuant to Section 13(a) or 15(d) of the Securities Exchange Act of 1934, as amended, available free of charge through the Investor Relations section of our main website, www.beyond.com, as soon as reasonably practicable after we electronically file such material with, or furnish it to, the Securities and Exchange Commission (the "SEC"). The SEC also maintains a website at www.sec.gov that contains reports, proxy and information statements, and other information filed by us. Our Internet Website and the information contained therein or connected thereto are not a part of or incorporated into this Annual Report on Form 10-K.</w:t>
      </w: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29" w:right="499" w:bottom="1440" w:gutter="0" w:footer="0" w:header="0"/>
        </w:sectPr>
      </w:pPr>
    </w:p>
    <w:bookmarkStart w:id="13" w:name="page14"/>
    <w:bookmarkEnd w:id="1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4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i w:val="1"/>
          <w:iCs w:val="1"/>
          <w:color w:val="auto"/>
        </w:rPr>
        <w:t>Any investment in our securities involves a high degree of risk. Please consider the following risk factors carefully. If any one or more of the following risks were to occur, it could have a material adverse effect on our business, prospects, financial condition and results of operations, and the market price of our securities could decrease significantly. Statements below to the effect that an event could or would harm our business (or have an adverse effect on our business or similar statements) mean that the event could or would have a material adverse effect on our business, prospects, financial condition and results of operations, which in turn could or would have a material adverse effect on the market price of our securities. Many of the risks we face involve more than one type of risk. Consequently, you should carefully read all of the risk factors below, and in any reports we file with the SEC after we file this Form 10-K, before making any decision to acquire or hold our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Company and its Operational, Litigation and Regulatory Environment</w:t>
      </w:r>
    </w:p>
    <w:p>
      <w:pPr>
        <w:spacing w:after="0" w:line="23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companies to perform functions critical to our business, and any failure or increased cost on their part could have a material adverse effect on our business.</w:t>
      </w:r>
    </w:p>
    <w:p>
      <w:pPr>
        <w:spacing w:after="0" w:line="19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7"/>
          <w:szCs w:val="17"/>
          <w:color w:val="auto"/>
        </w:rPr>
        <w:t>We depend on third-party companies, including third-party carriers, insurers, warranty providers, and a large number of independent fulfillment partners whose products we offer for sale on our Website, to perform functions critical to our ability to deliver products and services to our customers on time and at a reasonable cost. We depend on our carriers, insurers, warranty providers, and fulfillment partners to perform traditional retail operations such as maintaining inventory, preparing merchandise for shipment to our customers, delivering purchased merchandise on a timely and cost-effective basis, insuring the products, and offering warranty services associated with products. We also depend on the delivery and product assembly services that we and they utilize, on the payment processors that facilitate our customers' payments for their purchases, and on other third parties (including SaaS, IaaS, and other cloud-based third-party service providers) over which we have no control, for the operation of our business. Difficulties with any of our significant fulfillment partners or third-party carriers, insurers, warranty providers, delivery or product assembly services, payment processors or any of the third-party service providers involved in our business, regardless of the reason, could have a material adverse effect on our financial results, business and prospects.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and may not be able to compete successfully against existing or future competitors.</w:t>
      </w:r>
    </w:p>
    <w:p>
      <w:pPr>
        <w:spacing w:after="0" w:line="243"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online retail market is evolving rapidly and is intensely competitive. Barriers to entry are minimal, and current and new competitors can launch new websites at a relatively low cost. We currently compete with numerous competitors, including:</w:t>
      </w:r>
    </w:p>
    <w:p>
      <w:pPr>
        <w:spacing w:after="0" w:line="189" w:lineRule="exact"/>
        <w:rPr>
          <w:sz w:val="20"/>
          <w:szCs w:val="20"/>
          <w:color w:val="auto"/>
        </w:rPr>
      </w:pPr>
    </w:p>
    <w:p>
      <w:pPr>
        <w:ind w:left="660" w:right="780" w:hanging="328"/>
        <w:spacing w:after="0" w:line="23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retailers with or without discount departments, including Amazon.com, AliExpress (part of the Alibaba Group), eBay, Temu, and Rakuten.com;</w:t>
      </w:r>
    </w:p>
    <w:p>
      <w:pPr>
        <w:spacing w:after="0" w:line="1"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shopping services, including Google Shopping, Facebook, Instagram, and TikTok;</w:t>
      </w:r>
    </w:p>
    <w:p>
      <w:pPr>
        <w:ind w:left="660" w:hanging="328"/>
        <w:spacing w:after="0" w:line="234"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specialty retailers such as Wayfair, Build.com, Houzz, Hayneedle, Rugs.com, Groupon, and World Market;</w:t>
      </w:r>
    </w:p>
    <w:p>
      <w:pPr>
        <w:ind w:left="660" w:right="200" w:hanging="328"/>
        <w:spacing w:after="0" w:line="219"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furniture specialists including Bob's Discount Furniture, Havertys, Raymour &amp; Flanigan, At Home, Tuesday Morning, Living Spaces, Nebraska Furniture Mart, RC Willey, and Rooms To Go;</w:t>
      </w:r>
    </w:p>
    <w:p>
      <w:pPr>
        <w:ind w:left="660" w:right="200" w:hanging="328"/>
        <w:spacing w:after="0" w:line="22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general merchandise and specialty retailers and liquidators including Ashley Furniture, Best Buy, Big Lots, Costco, Crate and Barrel, Ethan Allen, Gilt, Home Depot, HomeGoods, Hudson's Bay Company, IKEA, J.C. Penney Company, Kirkland's, Kohl's, Lands' End, Lowe's, Macy's, Nordstrom, Pottery Barn, Restoration Hardware, Ross Stores, Saks Fifth Avenue, Sears, T.J. Maxx, Target, Walmart, West Elm, and Williams-Sonoma, all of which also have an online presence; and</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liquidators such as SmartBargains.</w:t>
      </w:r>
    </w:p>
    <w:p>
      <w:pPr>
        <w:spacing w:after="0" w:line="219"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We expect that existing and future traditional manufacturers and retailers will continue to add or improve their e-commerce offerings, and that our existing and future e-commerce competitors, including Amazon, will continue to increase their offerings, their delivery capabilities, and the ways in which they enable shoppers to purchase goods, including their mobile technology and the voice-activated shopping services offered by Amazon. Further, large marketplace websites and sites which aggregate marketplace sellers with a large product selection are becoming increasingly popular, and we may not be able to place our products on these sites to take advantage of their internal search platforms and some shoppers may begin their searches at these websites rather than utilize traditional search engines at all. Many of our competitors specialize in one or more of the areas in which we offer products. For example, our furniture offerings compete with numerous retail furniture websites and traditional furniture retail specialists. We also face competition from shopping services such as Google Shopping, which offers products from Walmart, Costco, Target and many other retailers. Competition from our competitors, many of whom have longer operating histories, larger customer bases, greater brand recognition, greater access to capital and significantly greater financial, marketing and other resources than we do, affects us and has had and could continue to have a material adverse effect on our financial results, business and prospects.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14" w:name="page15"/>
    <w:bookmarkEnd w:id="14"/>
    <w:p>
      <w:pPr>
        <w:ind w:right="2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effective marketing, including marketing via email, search engine marketing, influencer marketing, and social media marketing, and our competitors have and may continue to directly increase our marketing costs, may outspend us on marketing or be more efficient, and also have and may continue to cause us to decrease certain types of marketing.</w:t>
      </w:r>
    </w:p>
    <w:p>
      <w:pPr>
        <w:spacing w:after="0" w:line="195"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depend on effective marketing and customer traffic. We depend on search engine marketing, email, and other e-commerce marketing methods to promote our site and offerings and to generate a substantial portion of our revenue. If a significant portion of our target customers no longer utilize email, or if we are unable to effectively and economically deliver email or marketing materials through other channels to our potential customers, whether for legal, regulatory or other reasons, it would have a material adverse effect on our business. We also rely on social media and influencers for marketing purposes, and anything that limits our ability or our customers' ability or desire to utilize social media could have a material adverse effect on our business. In addition to competing with us for customers, suppliers, and employees, our competitors have and may continue to directly increase our operating costs, by driving up the cost of various forms of online advertising. Furthermore, our competitors may outspend us or be more efficient on various forms of advertising or marketing, making our marketing efforts less effective. We may elect to decrease our use of search engine marketing or other forms of marketing from time to time in order to decrease our costs, which may have a material adverse effect on our financial results and business. We may also elect to spend additional amounts on search engine marketing or other forms of marketing from time to time in order to increase traffic to our Website, or to take other strategic actions to increase traffic and/or conversion, and such increased spending may not be effective on a cost-benefit basis, or at all. If we are unable to develop, improve, implement and maintain effective and efficient cost-effective advertising and marketing programs, it would have a material adverse effect on our financial results and business.</w:t>
      </w:r>
    </w:p>
    <w:p>
      <w:pPr>
        <w:spacing w:after="0" w:line="21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Numerous potential economic factors, including a recession, other economic downturns, inflation, our exposure to the U.S. housing industry, and the potential for a decrease in consumer spending, have affected and could continue to adversely affect us.</w:t>
      </w:r>
    </w:p>
    <w:p>
      <w:pPr>
        <w:spacing w:after="0" w:line="172"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Various potential adverse economic conditions, including a recession, other economic downturns, inflation, and weakness in the U.S. housing market, could decrease consumer discretionary spending and further adversely affect our financial performance. We believe that our sales of home-related products are affected by the strength of the U.S. housing industry and overall consumer sentiment on discretionary goods. A recession or other economic downturn, in particular in the U.S. housing industry, has negatively impacted our sales in the past, and could have a material adverse effect on our financial results, business, and prospects. Similarly, a substantial portion of the products and services we offer are products or services that consumers may view as discretionary items rather than necessities. As a result, our results of operations are sensitive to changes in macroeconomic conditions that impact consumer spending, including discretionary spending. Difficult macroeconomic conditions also impact our customers' ability to obtain consumer credit. Other factors, including consumer confidence, employment levels, interest rates, fuel and energy costs, tax rates, and consumer debt levels could reduce consumer spending or change consumer purchasing habits. Slowdowns in the U.S. or global economy, or an uncertain economic outlook, could materially adversely affect consumer spending habits, have negatively impacted our sales in the past, and could have a material adverse effect on our financial results, business, and prospects.</w:t>
      </w:r>
    </w:p>
    <w:p>
      <w:pPr>
        <w:spacing w:after="0" w:line="225"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Tariffs, bans, or other measures or events that increase the effective price of products or limit our ability to access products we or our suppliers or fulfillment partners import into the United States could have a material adverse effect on our business.</w:t>
      </w:r>
    </w:p>
    <w:p>
      <w:pPr>
        <w:spacing w:after="0" w:line="185"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We and many of our suppliers and fulfillment partners source a large percentage of the products we offer on our Website from China and other countries. If the United States imposes tariffs or bans on imports, or if other factors that are outside of our control increase the prices of imported products sold on our Website or limit our ability to access products sold on our Website, the increased prices and/or supply chain challenges could have a material adverse effect on our financial results, business and prospects.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changing business model and use of the Overstock brand, Bed Bath &amp; Beyond brand, and Beyond brand, could negatively impact our business.</w:t>
      </w:r>
    </w:p>
    <w:p>
      <w:pPr>
        <w:spacing w:after="0" w:line="256"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We changed our company name from Overstock.com, Inc. to Beyond, Inc., purchased the Bed Bath &amp; Beyond brand, changed our company ticker symbol from OSTK to BYON, and transferred the listing of our common stock from NASDAQ to the NYSE. These changes may cause negative impacts to our business, including customers and shareholders, confusion about our brands, the need for higher promotional discounting or marketing costs to acquire and maintain customers, diversion of the attention of management or key personnel, employee fatigue resulting from implementation efforts, disruptions to existing business relationships, unexpected economic, political, or regulatory risks; or any other unforeseen costs, expenses, losses, disruptions, delays, or negative impacts.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5" w:name="page16"/>
    <w:bookmarkEnd w:id="15"/>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changing job market, the changes in our leadership team, the change in our compensation approach, the loss of key personnel, the changing job structure, or any inability to attract, retain and engage key personnel could affect our ability to successfully grow our business.</w:t>
      </w:r>
    </w:p>
    <w:p>
      <w:pPr>
        <w:spacing w:after="0" w:line="19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Our performance is substantially dependent on the continued service and performance of our senior management, our board of directors, and other key personnel. We underwent significant changes to our executive management team and our board of directors in 2023, with certain key positions still remaining open. We also underwent changes to our workforce in 2023 when we had a reduction in force. We adjusted our approach to equity compensation provided to our executives from a time-based approach to a performance-based approach. Uncertainties, including any substantial changes in leadership, or any negative impacts associated with performance-based compensation, may cause employees to seek other opportunities or impair our ability to recruit new employees. With more businesses allowing employees to work remotely, we are forced to compete with businesses in other locations and states to attract and retain key employees. Currently, most of our local workforce works a hybrid schedule, where they work onsite three days each week and perform the remaining workdays in that week remotely. We are planning to sell our corporate headquarters, which if completed, could result in more remote work. The changes in leadership, the reduction in force, the changed approach to performance-based compensation, and the uncertainty of the future job structure could create consequences such as a lack of productivity, a lack of engagement, employee dissatisfaction, and employee fatigue and could result in key employees finding other employers more attractive than working for our Company. The loss of, or the inability to retain or engage the services of key employees for any reason, could harm our business. Our future success depends on our ability to identify, attract, hire, train, engage, retain, and motivate highly-skilled personnel. Our failure to attract, retain, and engage the personnel necessary to successfully operate our business could have a material adverse effect on our financial results, business and prospects.</w:t>
      </w:r>
    </w:p>
    <w:p>
      <w:pPr>
        <w:spacing w:after="0" w:line="20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paid and natural search engines to rank our product offerings, and our financial results may suffer if we are unable to maintain our prior rankings in natural searches.</w:t>
      </w:r>
    </w:p>
    <w:p>
      <w:pPr>
        <w:spacing w:after="0" w:line="172" w:lineRule="exact"/>
        <w:rPr>
          <w:sz w:val="20"/>
          <w:szCs w:val="20"/>
          <w:color w:val="auto"/>
        </w:rPr>
      </w:pPr>
    </w:p>
    <w:p>
      <w:pPr>
        <w:jc w:val="both"/>
        <w:ind w:right="140" w:firstLine="648"/>
        <w:spacing w:after="0" w:line="262" w:lineRule="auto"/>
        <w:rPr>
          <w:sz w:val="20"/>
          <w:szCs w:val="20"/>
          <w:color w:val="auto"/>
        </w:rPr>
      </w:pPr>
      <w:r>
        <w:rPr>
          <w:rFonts w:ascii="Times New Roman" w:cs="Times New Roman" w:eastAsia="Times New Roman" w:hAnsi="Times New Roman"/>
          <w:sz w:val="17"/>
          <w:szCs w:val="17"/>
          <w:color w:val="auto"/>
        </w:rPr>
        <w:t>We rely on paid and natural search engines to attract consumer interest in our product offerings, including Google, Bing, and Yahoo!. Changes to their ranking algorithms and competition from other retailers to attract consumer interest may adversely affect our product offerings in paid and/or natural searches, and we may at times be subject to ranking penalties if the operators of search engines believe we are not in compliance with their guidelines.</w:t>
      </w:r>
    </w:p>
    <w:p>
      <w:pPr>
        <w:spacing w:after="0" w:line="1"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Search engine companies change their natural search engine algorithms periodically and online retailers compete to rank well with these search engine companies. Our ranking in natural searches may be adversely affected by those changes, as has occurred from time to time, which has led us to pursue revenue growth in other more expensive marketing channels. Google's search engine is dominant in our business and has historically been a significant source of traffic to our website, much of it at essentially no incremental cost to us. Search engine companies may also determine that we are not in compliance with their guidelines from time to time, as has occurred in the past, and they may penalize us in their search algorithms as a result. In recent years, we have experienced declines in our rankings in Google's natural search engine, which has required us to utilize more expensive marketing channels or otherwise compensate for the loss of some of the natural search traffic. Any future declines in our rankings in Google's natural search engine could have a material adverse effect on our business.</w:t>
      </w:r>
    </w:p>
    <w:p>
      <w:pPr>
        <w:spacing w:after="0" w:line="224"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not profitable and/or are unable to generate sufficient positive cash flow from operations, our ability to continue in business will depend on our ability to raise additional capital, obtain financing or monetize significant assets, and we may be unable to do so.</w:t>
      </w:r>
    </w:p>
    <w:p>
      <w:pPr>
        <w:spacing w:after="0" w:line="185"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At December 31, 2023, our accumulated deficit was $481.7 million. We experienced significant losses in years leading up to 2020. Although our financial results were significantly better in 2020 and 2021, we incurred additional losses in 2022 and 2023, which included significant non-cash losses on our equity method investments and a write-down loss on our corporate headquarters. If we are unable to successfully manage our business in the future, our ability to continue in business could depend on our ability to raise sufficient additional capital, obtain sufficient financing, or sell or otherwise monetize significant assets such as our corporate headquarters which is currently being marketed for sale. Additionally, we may not be able to raise capital on acceptable terms or at all. The occurrence of any of the foregoing risks would have a material adverse effect on our financial results, business and prospects.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the Internet, our infrastructure and transaction-processing systems.</w:t>
      </w:r>
    </w:p>
    <w:p>
      <w:pPr>
        <w:spacing w:after="0" w:line="256"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We are completely dependent on our infrastructure and on the availability, reliability and security of the Internet and related systems. Although we have migrated and continue to migrate some of our computer systems and operations to the public cloud, a substantial majority of our computer and communications infrastructure is running in our private cloud on hardware that is located at a single Beyond owned and operated facility which we are currently marketing for sale. Our systems and operations are vulnerable to damage or interruption from fire, flood, power loss, telecommunications failure, terrorist attacks, cyber-attacks, acts of war, break-ins, earthquake and similar events. Our back-up facility by itself is not adequate to support</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6" w:name="page17"/>
    <w:bookmarkEnd w:id="16"/>
    <w:p>
      <w:pPr>
        <w:spacing w:after="0" w:line="244" w:lineRule="auto"/>
        <w:rPr>
          <w:sz w:val="20"/>
          <w:szCs w:val="20"/>
          <w:color w:val="auto"/>
        </w:rPr>
      </w:pPr>
      <w:r>
        <w:rPr>
          <w:rFonts w:ascii="Times New Roman" w:cs="Times New Roman" w:eastAsia="Times New Roman" w:hAnsi="Times New Roman"/>
          <w:sz w:val="18"/>
          <w:szCs w:val="18"/>
          <w:color w:val="auto"/>
        </w:rPr>
        <w:t>fulfillment of sales orders. Our servers and applications are vulnerable to malware, physical or electronic break-ins, internal sabotage, and other disruptions, the occurrence of any of which could lead to interruptions, delays, loss of critical data or the inability to accept and fulfill customer orders. Any internal or critical third-party system interruption that results in the unavailability of our Website or our mobile app or reduced performance of our transaction systems could interrupt or substantially reduce our ability to conduct our business. We have experienced periodic systems interruptions due to server failure, application failure, power failure and intentional cyber-attacks in the past, and may experience additional interruptions or failures in the future. Any failure or impairment of our infrastructure or of the availability of the Internet or related systems caused by any source, including the transfer of our hardware to another location if we sell the facility where it is now located, could have a material adverse effect on our financial results, business and prospects. In addition, the occurrence of any event that would adversely affect e-commerce or discourage or prevent consumers from shopping online or via mobile apps could significantly decrease the volume of our sales.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and risks of data loss or other security breaches.</w:t>
      </w:r>
    </w:p>
    <w:p>
      <w:pPr>
        <w:spacing w:after="0" w:line="243"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Our business involves the storage and transmission of users' proprietary information, and security breaches could expose us to a risk of loss or misuse of this information, and to resulting claims, fines, and litigation. We have developed certain software products to assist with the operation and management of our business, which could contain flaws or vulnerabilities that could present cybersecurity-related risks or result in data loss, other security breaches, or damage to our business, our suppliers, or our customers. We have been subjected to a variety of cyber-attacks, which have increased in number and variety over time. We believe our systems are probed by potential hackers virtually 24/7, and we expect the problem will continue to grow worse over time. Cyber-attacks may target us, our customers, our suppliers, banks, credit card processors, delivery services, public cloud providers, e-commerce in general or the communication infrastructure on which we depend. Any flaws or vulnerabilities in the software we created or technologies designed to prevent attacks on our systems and other third-party systems, compromise of our security, data breaches, malfunctions, or errors, could result in a violation of applicable privacy and other laws, significant legal and financial exposure, damage to our reputation, and a loss of confidence in our security measures, any of which could have a material adverse effect on our financial results and business. Moreover, any insurance coverage we may carry may be inadequate to cover the expenses and other potential financial exposure we could face as a result of a cyber-attack or data breach.</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significant deferred tax assets and may not be able to realize these assets in the future.</w:t>
      </w:r>
    </w:p>
    <w:p>
      <w:pPr>
        <w:spacing w:after="0" w:line="24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have established a valuation allowance for our net deferred tax assets, primarily due to recent operating losses, forecasted near-term losses, and uncertainty regarding our future taxable income. Determining whether a valuation allowance for deferred tax assets is appropriate requires judgment and an evaluation of all positive and negative evidence. At each reporting period, we assess the need for, or the sufficiency of a valuation allowance against deferred tax assets. We intend to maintain a valuation allowance on our net deferred tax assets until there is sufficient evidence to support the reversal of all or some portion of the allowance.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recognize losses relating to our equity method investments.</w:t>
      </w:r>
    </w:p>
    <w:p>
      <w:pPr>
        <w:spacing w:after="0" w:line="243"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At December 31, 2023, we held equity method investments totaling approximately $155.9 million. The underlying equity interests are in entities that are in the startup or development stages. Equity method securities are inherently risky because we do not have the ability to influence business decisions. Further, these investments are inherently risky because the markets for the technologies or products these companies are developing are typically in the early stages and may never materialize. Since these investments are in companies that are in the early startup or development stages, even if their technology or products are viable, they may not be able to obtain the capital or resources necessary to successfully bring their technology or products to market. We have recognized losses related to these equity method securities in the past and may in the future recognize additional losses. Additionally, due to tax law limitations around deductibility of capital and investment losses, we may not be able to recognize a tax benefit on these losses when they occur. Any such loss could be material and could have a material adverse effect on our financial results.</w:t>
      </w:r>
    </w:p>
    <w:p>
      <w:pPr>
        <w:spacing w:after="0" w:line="223"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governmental entities or providers of consumer devices and internet browsers further restrict or regulate the use of "cookie" tracking technologies, the amount or accuracy of online user information we collect could decrease, which could harm our business and operating results.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Various federal, state and international governmental entities have enacted or are considering enacting legislation or regulations that could</w:t>
      </w:r>
    </w:p>
    <w:p>
      <w:pPr>
        <w:spacing w:after="0" w:line="2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significantly restrict the ability of companies to use proprietary or third-party "cookies" and other methods of online tracking for behavioral advertising. For example, some governmental agencies have regulated the level of consumer notice and consent required before a company can employ cookies or other electronic tracking tools or the use of data gathered with such tools. Additionally, some providers of consumer devices and web browsers have implemented or plan to implement methods of making it easier for Internet users to prevent the placement of cookies, to block other tracking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ind w:right="60"/>
        <w:spacing w:after="0" w:line="264" w:lineRule="auto"/>
        <w:rPr>
          <w:sz w:val="20"/>
          <w:szCs w:val="20"/>
          <w:color w:val="auto"/>
        </w:rPr>
      </w:pPr>
      <w:r>
        <w:rPr>
          <w:rFonts w:ascii="Times New Roman" w:cs="Times New Roman" w:eastAsia="Times New Roman" w:hAnsi="Times New Roman"/>
          <w:sz w:val="17"/>
          <w:szCs w:val="17"/>
          <w:color w:val="auto"/>
        </w:rPr>
        <w:t>technologies or to require new permissions from users for certain activities, which have impacted us in the past and have the potential to significantly reduce the effectiveness of such practices and technologies in the future. For example, in January 2024, Google began testing a new feature in Chrome that limits cross -site tracking by restricting website access to third-party cookies by default, with a goal of phasing out third-party cookies for everyone in the second half of 2024. Any further restriction on the use of cookies and other online tracking and advertising practices could limit our ability to effectively retain existing customers or acquire new customers and consequently, materially adversely affect our business, financial condition and operating results.</w:t>
      </w:r>
    </w:p>
    <w:p>
      <w:pPr>
        <w:spacing w:after="0" w:line="203"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the legal, regulatory, or tax treatment of our company changes adversely, it could impact our ability to conduct business and, accordingly, our financial results.</w:t>
      </w:r>
    </w:p>
    <w:p>
      <w:pPr>
        <w:spacing w:after="0" w:line="185"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New or revised laws, regulations, or court decisions may subject us to additional requirements and new disclosures that could increase the cost of doing business, increase scrutiny for the way decisions are made, decrease our revenues, or impact our business model. For example, the SEC has proposed rules that would affect publicly-traded company disclosure obligations in the areas of climate change which, if approved, would increase our costs of doing business and expose us to potential compliance risk. In addition, new or revised tax regulations or court decisions may subject us or our customers to additional taxes. For example, various jurisdictions around the world have enacted or are considering revenue-based taxes such as digital services taxes and other targeted taxes, which could lead to inconsistent and potentially overlapping international tax regimes. The Organization for Economic Cooperation and Development (OECD) is coordinating negotiations among more than 140 countries with the goal of achieving consensus around substantial changes to international tax policies, including the implementation of a minimum global effective tax rate of 15%. Other new or revised legal, regulatory, or tax treatment could expose us to additional risk, increase the cost of doing business online, and increase internal costs necessary to capture data, report data, and collect and remit taxes. Any of these items could have a material adverse effect on our business and financial results.</w:t>
      </w:r>
    </w:p>
    <w:p>
      <w:pPr>
        <w:spacing w:after="0" w:line="222"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and certain of our former and current officers and directors are named in shareholder class action lawsuits and shareholder derivative lawsuits, which could require significant additional management time and attention, result in significant additional legal expenses or result in government enforcement actions.</w:t>
      </w:r>
    </w:p>
    <w:p>
      <w:pPr>
        <w:spacing w:after="0" w:line="216"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We and certain of our former and current officers and directors are named in shareholder class action lawsuits and shareholder derivative lawsuits, and may become subject to further litigation, government investigations or proceedings arising therefrom. The pending litigation and any future litigation, investigations or other actions that may be filed or initiated against us or our current or former officers or directors may be time consuming and expensive. We cannot predict what losses, if any, we may incur in these litigation matters, and expect to incur significant legal expenditures in defending and responding to these litigation matters.</w:t>
      </w:r>
    </w:p>
    <w:p>
      <w:pPr>
        <w:spacing w:after="0" w:line="208"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Any such legal proceedings, if decided adversely to us, could result in significant monetary damages, penalties and reputational harm, and will likely involve significant defense and other costs. We have entered into indemnification agreements with each of our directors and certain of our officers, requiring us to indemnify them. Further, our insurance may not cover all claims that have been or may be brought against us, and insurance coverage may not continue to be available to us at a reasonable cost. As a result, we may be exposed to substantial uninsured or under-insured liabilities, including pursuant to our indemnification obligations, which could materially adversely affect our business, prospects, results of operations and financial condition.</w:t>
      </w:r>
    </w:p>
    <w:p>
      <w:pPr>
        <w:spacing w:after="0" w:line="200"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and tZERO, in which we own a direct minority interest, are both the subjects of, and parties to, investigations by the SEC Division of Enforcement, which has required us to expend significant financial and legal resources. The resolution of those investigations may have a material adverse effect on our business, financial condition, results of operations and cash flows.</w:t>
      </w:r>
    </w:p>
    <w:p>
      <w:pPr>
        <w:spacing w:after="0" w:line="195"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As previously disclosed, in October 2019, we received a subpoena from the SEC requiring us to produce documents and other information related to the Series A-1 Preferred stock dividend we announced to stockholders in June 2019 and requesting copies of 10b5-1 plans entered into by certain officers and directors. In December 2019, we received a subpoena from the SEC requesting our insider trading policies and certain employment and consulting agreements. We also received requests from the SEC for our communications with our former Chief Executive Officer and Director, Patrick Byrne, and the matters referenced in the December 2019 subpoenas. In January 2021, we received a subpoena from the SEC requesting information regarding our Retail guidance in 2019 and certain communications with current and former executives, board members, and investors. We continue to cooperate with the SEC in these matters.</w:t>
      </w:r>
    </w:p>
    <w:p>
      <w:pPr>
        <w:spacing w:after="0" w:line="208"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Although we believe that we have fully complied with all relevant laws and regulations, there can be no assurance that the SEC will not commence an enforcement action against us, or members of our management or former management, or as to the ultimate resolution of any enforcement action that the SEC may decide to bring. Under applicable law, the SEC has the ability to impose significant sanctions on companies and individuals who are found to have violated the provisions of applicable</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8" w:name="page19"/>
    <w:bookmarkEnd w:id="18"/>
    <w:p>
      <w:pPr>
        <w:spacing w:after="0" w:line="245" w:lineRule="auto"/>
        <w:rPr>
          <w:sz w:val="20"/>
          <w:szCs w:val="20"/>
          <w:color w:val="auto"/>
        </w:rPr>
      </w:pPr>
      <w:r>
        <w:rPr>
          <w:rFonts w:ascii="Times New Roman" w:cs="Times New Roman" w:eastAsia="Times New Roman" w:hAnsi="Times New Roman"/>
          <w:sz w:val="18"/>
          <w:szCs w:val="18"/>
          <w:color w:val="auto"/>
        </w:rPr>
        <w:t>federal securities laws, including cease and desist orders, civil money penalties, and barring individuals from serving as directors or officers of public companies. We have expended significant financial and legal resources responding to the SEC subpoena and such responses have required a significant amount of time and attention of our senior management and personnel. Defending any enforcement action brought by the SEC against us or members of our management would involve further significant expenditures and the resolution of any such enforcement action could have a material adverse effect on our business, financial condition, results of operations and cash flows. Additionally, the outcome of any investigation related to the activities of tZERO could result in negative publicity for tZERO or us or limit the products which tZERO may be able to offer, which may have an adverse effect on the current and future business ventures of tZERO or us.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successfully optimize and operate our distribution center, warehouse, and customer service operations, our business could be harmed.</w:t>
      </w:r>
    </w:p>
    <w:p>
      <w:pPr>
        <w:spacing w:after="0" w:line="256"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We have expanded, contracted, and otherwise modified our distribution center, warehouse, and customer service operations from time to time in the past, and expect that we will continue to do so. If we do not successfully optimize and operate our distribution center, warehouse, and customer service operations, it could significantly limit our ability to meet customer demand, customer shipping or return time expectations, or result in excessive costs and expenses for the size of our business. Because it is difficult to predict demand, we may not be able to manage our operations in an optimal way, which may result in excess or insufficient inventory or warehousing capacity. Our fulfillment and customer service centers may also fail to staff at optimal levels. Our failure to manage our warehouse operations, distribution centers or our fulfillment and customer service centers optimally could adversely affect our financial results and customer experience and could have a material adverse effect on our financial results, business and prospects.</w:t>
      </w:r>
    </w:p>
    <w:p>
      <w:pPr>
        <w:spacing w:after="0" w:line="191" w:lineRule="exact"/>
        <w:rPr>
          <w:sz w:val="20"/>
          <w:szCs w:val="20"/>
          <w:color w:val="auto"/>
        </w:rPr>
      </w:pPr>
    </w:p>
    <w:p>
      <w:pPr>
        <w:ind w:right="6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utilize technological advancements, including in artificial intelligence, our business and financial performance could be negatively impacted.</w:t>
      </w:r>
    </w:p>
    <w:p>
      <w:pPr>
        <w:spacing w:after="0" w:line="185" w:lineRule="exact"/>
        <w:rPr>
          <w:sz w:val="20"/>
          <w:szCs w:val="20"/>
          <w:color w:val="auto"/>
        </w:rPr>
      </w:pPr>
    </w:p>
    <w:p>
      <w:pPr>
        <w:ind w:right="80" w:firstLine="648"/>
        <w:spacing w:after="0" w:line="229" w:lineRule="auto"/>
        <w:rPr>
          <w:sz w:val="20"/>
          <w:szCs w:val="20"/>
          <w:color w:val="auto"/>
        </w:rPr>
      </w:pPr>
      <w:r>
        <w:rPr>
          <w:rFonts w:ascii="Times New Roman" w:cs="Times New Roman" w:eastAsia="Times New Roman" w:hAnsi="Times New Roman"/>
          <w:sz w:val="18"/>
          <w:szCs w:val="18"/>
          <w:color w:val="auto"/>
        </w:rPr>
        <w:t>Our industry is highly competitive and is undergoing rapid changes due to technological advancement in areas such as artificial intelligence (AI). Our future success depends in part on our ability to effectively utilize these technological advancements. Our competitors may outpace us in incorporating AI into their product offerings and engagement with customers, which could affect our competitiveness and operational outcomes. Our efforts to utilize these technological advancements may not be successful, may result in substantial integration and maintenance costs, and may expose us to additional risks. Personal data within any dataset, collected from our business, is vulnerable to unintentional dissemination or intentional destruction, which could lead to heightened business and security costs, reputational damage, administrative penalties, or legal claims defense expenses. The content, analyses, or recommendations generated by AI programs, if deficient, inaccurate, or biased, could adversely impact our business, financial condition, and operational results, as well as our reputation. Moreover, ethical concerns associated with AI could lead to brand damage, competitive disadvantages, or legal repercussions. Any problems with our implementation or use of AI or other technological advancements could negatively impact our business or results of our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conflict could negatively impact our business, results of operations, and financial condition.</w:t>
      </w:r>
    </w:p>
    <w:p>
      <w:pPr>
        <w:spacing w:after="0" w:line="243"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Global conflict could increase costs and limit availability of fuel, energy, and other resources we depend upon for our business operations and could also limit product assortment availability. For example, while we do not operate in Russia or Ukraine, the increasing tensions between the United States and Russia and the other effects of the ongoing conflict in Ukraine, have resulted in many broader economic impacts such as the United States imposing sanctions and bans against Russia and Russian products imported into the United States. Such sanctions and bans have impacted and may continue to impact commodity pricing such as fuel and energy costs, making it more expensive for us and our partners to deliver products to our customers. Further, we and many of our suppliers and fulfillment partners source a large percentage of the products we offer on our Website from China. Relations between the United States and China have become increasingly strained and if tensions were to escalate, it could limit our ability to provide a full assortment of furniture and home furnishings on our Website. Sanctions, bans, trade restrictions, or other economic actions in response to present or future conflicts could result in an increase in costs, further disruptions to our supply chain, and a lack of consumer confidence resulting in reduced demand. While the extent of such items is not presently known, any of them could negatively impact our business, results of operations, and financial condition.</w:t>
      </w:r>
    </w:p>
    <w:p>
      <w:pPr>
        <w:spacing w:after="0" w:line="222"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partially self-insured with respect to our employees' health insurance. If the actual costs of these claims exceed the amounts we have accrued for them, we would incur additional expense.</w:t>
      </w:r>
    </w:p>
    <w:p>
      <w:pPr>
        <w:spacing w:after="0" w:line="185"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Since January 1, 2017, we have been partially self-insured with respect to our employees' health insurance, except to the extent of stop-loss coverage that limits our losses both on a per employee basis and an aggregate basis. The actual costs of our employees' health insurance claims could exceed our estimates of those costs for a number of reasons, including more claims or larger claims than we expect, and increases in the costs of healthcare generally. If the actual cost of our employees' health insurance claims and related expenses exceeds the amounts we have accrued, we may be required to record additional</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9" w:name="page20"/>
    <w:bookmarkEnd w:id="19"/>
    <w:p>
      <w:pPr>
        <w:ind w:right="480"/>
        <w:spacing w:after="0" w:line="266" w:lineRule="auto"/>
        <w:rPr>
          <w:sz w:val="20"/>
          <w:szCs w:val="20"/>
          <w:color w:val="auto"/>
        </w:rPr>
      </w:pPr>
      <w:r>
        <w:rPr>
          <w:rFonts w:ascii="Times New Roman" w:cs="Times New Roman" w:eastAsia="Times New Roman" w:hAnsi="Times New Roman"/>
          <w:sz w:val="18"/>
          <w:szCs w:val="18"/>
          <w:color w:val="auto"/>
        </w:rPr>
        <w:t>charges for these claims and/or to establish additional cash reserves, which could have a material adverse effect on our financial results, business and prospects.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protect our proprietary technology and to obtain trademark protection for our marks.</w:t>
      </w:r>
    </w:p>
    <w:p>
      <w:pPr>
        <w:spacing w:after="0" w:line="24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Our success depends to a significant degree upon the protection of our software and other proprietary intellectual property rights. We rely on a combination of laws and contractual restrictions with our employees, customers, suppliers, affiliates, and others to establish and protect our proprietary rights, including the law pertaining to trade secrets. Despite these precautions, it may be possible for a third party to copy or otherwise obtain and use our intellectual property or trade secrets without authorization. In addition, we cannot ensure that others will not independently develop similar intellectual property. Third parties have in the past recruited and may in the future recruit our employees who have had access to our proprietary technologies, processes and operations. These recruiting efforts expose us to the risk that such employees and those hiring them will misappropriate and exploit our intellectual property and trade secrets. We may be unable to protect against such risks, in the United States or elsewhere, which could have a material adverse effect on our business. Although we have registered and are pursuing the registration of our key trademarks in the United States and some other countries, some of our trade names may not be eligible to receive registered trademark protection. In addition, effective trademark protection may not be available or we may not seek protection in every country in which we market or sell our products and services, including in the United States. Our competitors might adopt product or service marks like our marks or might try to prevent us from using our marks. Any claim by another party against us, or customer confusion related to our trademarks, or our failure to obtain trademark registration, could have a material adverse effect on our financial results, business and prospects.</w:t>
      </w:r>
    </w:p>
    <w:p>
      <w:pPr>
        <w:spacing w:after="0" w:line="21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claims that we have infringed intellectual property rights of third parties and may be subjected to additional infringement claims in the future.</w:t>
      </w:r>
    </w:p>
    <w:p>
      <w:pPr>
        <w:spacing w:after="0" w:line="172"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We are currently and may in the future be subject to claims that we have infringed the intellectual property rights of others, by offering allegedly infringing products or otherwise. We have contested and expect to continue to contest claims we consider unfounded rather than settling such claims, even when we expect the costs of contesting the claims could potentially exceed the cost of settlement. Any claims may result in significant expenditure of our financial and managerial resources and may result in us making significant damages or settlement payments or changes to our business. We could be prohibited from using software or business processes, or required to obtain licenses from third parties, which could be expensive or unavailable. Any such difficulties could have a material adverse effect on our financial results, business and prospects.</w:t>
      </w:r>
    </w:p>
    <w:p>
      <w:pPr>
        <w:spacing w:after="0" w:line="203"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depend on our suppliers' and fulfillment partners' representations regarding product safety, content and quality, product compliance with various laws and regulations, including registration and/or reporting obligations, and for proper labeling of products.</w:t>
      </w:r>
    </w:p>
    <w:p>
      <w:pPr>
        <w:spacing w:after="0" w:line="198"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We rely on our suppliers' and fulfillment partners' representations of product safety, content and quality, product compliance with various laws and regulations, including registration and/or reporting obligations, and proper labeling of products. Issues or concerns regarding product safety, compliance, registration and/or reporting, labeling, content or quality could result in consumer or governmental claims and could adversely affect our financial results and business. Any indemnity agreement we may have with a supplier or fulfillment partner of a product may be inadequate or inapplicable, and any insurance coverage we may carry may be inadequate. Even unsuccessful claims could result in the expenditure of funds and management time and could have a negative impact on our business. The occurrence of any of the foregoing could have a material adverse effect on our financial results, business and prospects.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an evolving business model, which increases the complexity of our business.</w:t>
      </w:r>
    </w:p>
    <w:p>
      <w:pPr>
        <w:spacing w:after="0" w:line="243"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In prior years we added additional types of services and product offerings and in some cases, we modified or discontinued those offerings, and in some cases have re-launched offerings we had previously terminated. We are expanding the types of products and services that we offer, and accordingly may further expand our offerings in the future, and we do not know whether any of them will be successful. From time to time, we have also modified aspects of our business model relating to our product mix and the mix of direct/partner sourcing of the products we offer. For example, we eliminated our assortment of non-home goods offered for sale on our Website to increase our brand association with "home" which resulted in reduced revenues, and we subsequently determined to offer non-home goods through another channel. In addition, we continue to experiment with new technologies to enhance the customer experience and iterate on delivery of new features. The additions and modifications to our business have increased the complexity of our business and impacted our management, personnel, operations, systems, technical performance, financial resources, and internal financial control and reporting functions. Further, our efforts to right-size our cost structure and create a more flexible technology stack may result in the introduction of technologies that are less mature or stable, which could cause problems in our website or back-end logistics systems. Further, any new business, products or services, technology, or website we launch that is not favorably received by consumers could</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0" w:name="page21"/>
    <w:bookmarkEnd w:id="20"/>
    <w:p>
      <w:pPr>
        <w:ind w:right="680"/>
        <w:spacing w:after="0" w:line="266" w:lineRule="auto"/>
        <w:rPr>
          <w:sz w:val="20"/>
          <w:szCs w:val="20"/>
          <w:color w:val="auto"/>
        </w:rPr>
      </w:pPr>
      <w:r>
        <w:rPr>
          <w:rFonts w:ascii="Times New Roman" w:cs="Times New Roman" w:eastAsia="Times New Roman" w:hAnsi="Times New Roman"/>
          <w:sz w:val="18"/>
          <w:szCs w:val="18"/>
          <w:color w:val="auto"/>
        </w:rPr>
        <w:t>damage our reputation or our brand. The occurrence of any of the foregoing could have a material adverse effect on our financial results, business, prospects, and the trading prices of our securities.</w:t>
      </w:r>
    </w:p>
    <w:p>
      <w:pPr>
        <w:spacing w:after="0" w:line="199"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Pelion is not successful in managing the Medici Ventures, L.P. fund or has to resign if there is a change in the interpretation or application of the Investment Advisers Act of 1940 (the "Advisers Act"), we would be unable to realize the anticipated benefits of this arrangement.</w:t>
      </w:r>
    </w:p>
    <w:p>
      <w:pPr>
        <w:spacing w:after="0" w:line="18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As the general partner of the Medici Ventures, L.P. fund, Pelion has control over the limited partnership and its activities, including day-to-day operations and investment decisions. Pelion is able to sell investments of the limited partnership at any time, make additional investments, modify, amend or change existing investments, make new investments and otherwise control the activities of the limited partnership.</w:t>
      </w:r>
    </w:p>
    <w:p>
      <w:pPr>
        <w:spacing w:after="0" w:line="196"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18"/>
          <w:szCs w:val="18"/>
          <w:color w:val="auto"/>
        </w:rPr>
        <w:t>The success of the Medici Ventures, L.P. fund depends on Pelion's ability to successfully manage the activities of the Medici Ventures, L.P. fund portfolio companies and its existing and future portfolio company investments. Pelion may not be successful in managing these investments and we may not receive the benefits we anticipate of the transaction with Pelion. Moreover, even if successful in managing the Partnership, Pelion has the right to withdraw as general partner under certain circumstances, including certain changes in Pelion's status under the Advisers Act. The occurrence of such an event is beyond our control, and, as a result, there can be no assurance that Pelion will remain as general partner for the term contemplated. If Pelion is no longer serving as the general partner, we will have the right under the partnership agreement to appoint a new general partner; however, it may not be possible to accomplish this in a timely manner, which could result in the termination of the partnership. Even if a new general partner is appointed in a timely manner, it may be unable to manage the activities of the Medici Ventures, L.P. fund and its portfolio company investments, which would prevent us from receiving the anticipated benefits of the partnership.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business efforts could adversely affect us.</w:t>
      </w:r>
    </w:p>
    <w:p>
      <w:pPr>
        <w:spacing w:after="0" w:line="256"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We sell products in international markets and are seeking to expand our international sales. International sales and transactions are subject to inherent risks and challenges that could adversely affect us, including:</w:t>
      </w:r>
    </w:p>
    <w:p>
      <w:pPr>
        <w:spacing w:after="0" w:line="18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develop new supplier and manufacturer relationships and create new logistics capabilities;</w:t>
      </w:r>
    </w:p>
    <w:p>
      <w:pPr>
        <w:spacing w:after="0" w:line="2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comply with additional U.S. and foreign laws and regulations;</w:t>
      </w:r>
    </w:p>
    <w:p>
      <w:pPr>
        <w:ind w:left="660" w:hanging="328"/>
        <w:spacing w:after="0" w:line="234"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international laws, regulatory requirements, taxes and tariffs;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experience with different local cultures and standards;</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such as war and terrorist attacks;</w:t>
      </w:r>
    </w:p>
    <w:p>
      <w:pPr>
        <w:ind w:left="660" w:right="500" w:hanging="328"/>
        <w:spacing w:after="0" w:line="24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products we offer may not appeal to customers in international markets, whether due to the products themselves, the time to deliver, a lack of brand recognition, or another reason;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resources and management attention required for such expansion.</w:t>
      </w:r>
    </w:p>
    <w:p>
      <w:pPr>
        <w:spacing w:after="0" w:line="220"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Our international business could expose us to penalties for non-compliance with laws applicable to international business and trade, including the U.S. Foreign Corrupt Practices Act, which could have a material adverse effect on our business. Foreign data protection, privacy and other laws and regulations are different and often more restrictive than those in the United States. Compliance with such laws and regulations will result in additional costs and may necessitate changes to our business practices, which may adversely affect our business. A lack of brand recognition, increased costs associated with shipping products cross-border, increased times to deliver products to customers, or other matters that may reduce customer demand, could adversely affect our business. To the extent that we make purchases or sales denominated in foreign currencies, we would have foreign currency risks, which could have a material adverse effect on our financial results, business and prospects.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Common Stock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adversely affected by short-selling activities involving our common stock.</w:t>
      </w:r>
    </w:p>
    <w:p>
      <w:pPr>
        <w:spacing w:after="0" w:line="256"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The trading price of our common stock has been and may continue to be volatile. Our stock price fluctuations may be due in part to short-selling activity related to our common stock. The practice of short-selling activity may adversely affect our common stock price, which in turn could adversely affect our ability to raise capital and could have a material adverse effect on our financial results, business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1" w:name="page22"/>
    <w:bookmarkEnd w:id="21"/>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Significant fluctuations in our quarterly operating results may adversely affect the market prices of our common stock, and you may lose all or a part of your investment.</w:t>
      </w:r>
    </w:p>
    <w:p>
      <w:pPr>
        <w:spacing w:after="0" w:line="198"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Our revenues and operating results have varied in the past and may continue to vary significantly from quarter to quarter due to a number of factors, many of which are outside our control. In addition to the other risk factors described in this report, factors that have caused and/or could cause our quarterly operating results to fluctuate and in turn affect the market prices of our common stock include:</w:t>
      </w:r>
    </w:p>
    <w:p>
      <w:pPr>
        <w:spacing w:after="0" w:line="21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advertising and changes in our sales and marketing expenditures;</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retain existing customers or encourage repeat purchases;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existing and future marketing campaigns are successful;</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competition, particularly in the costs of marketing and product pricing;</w:t>
      </w:r>
    </w:p>
    <w:p>
      <w:pPr>
        <w:ind w:left="660" w:hanging="328"/>
        <w:spacing w:after="0" w:line="234"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costs and capital expenditures;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purchases of inventory;</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manage distribution operations or provide adequate levels of customer service;</w:t>
      </w:r>
    </w:p>
    <w:p>
      <w:pPr>
        <w:ind w:left="660" w:hanging="328"/>
        <w:spacing w:after="0" w:line="234"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fuel, transportation or distribution;</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implement technology changes or integrate operations and technologies from acquisitions or other business combinations;</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offer new lines of products and services;</w:t>
      </w:r>
    </w:p>
    <w:p>
      <w:pPr>
        <w:ind w:left="660" w:hanging="328"/>
        <w:spacing w:after="0" w:line="234"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users to our website; and</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associated with our equity method investments.</w:t>
      </w:r>
    </w:p>
    <w:p>
      <w:pPr>
        <w:spacing w:after="0" w:line="232"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Any of the foregoing could have a material adverse effect on our financial results and business and our ability to raise capital and could have a material adverse effect on the holders of our common stock.</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other distributions of our stock may depress our stock price or subject us to limitations on our ability to use our net operating and tax credit carryforwards.</w:t>
      </w:r>
    </w:p>
    <w:p>
      <w:pPr>
        <w:spacing w:after="0" w:line="172"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Sales or other distributions of a substantial number of shares of our common stock, in the public market or otherwise, by us or by a significant stockholder, has in the past and could in the future, depress the trading price of our common stock and impair our ability to raise capital through the sale of additional equity securities. The transfer of ownership of a significant portion of our outstanding shares of common stock in the public market or otherwise, by us or by a significant stockholder, within a three-year period could adversely affect our ability to use our net operating losses and tax credit carryforwards to offset future taxable net income.</w:t>
      </w:r>
    </w:p>
    <w:p>
      <w:pPr>
        <w:spacing w:after="0" w:line="222"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18"/>
          <w:szCs w:val="18"/>
          <w:color w:val="auto"/>
        </w:rPr>
        <w:t>In addition, we may issue additional shares of our common or preferred stock from time to time in the future in amounts that may be significant. We have sold common stock including under "at the market" sales agreement and in follow-on underwritten offerings in the past and may do so in the future. We also previously issued a class of preferred stock that was publicly traded and may in the future issue preferred stock that is publicly traded. The sale of substantial amounts of our common or preferred stock, by us or a significant stockholder, or the perception that these sales may occur, could adversely affect the trading prices of our securities or subject us to limitations on our ability to use our net operating and tax credit carryforwards.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2" w:name="page23"/>
    <w:bookmarkEnd w:id="22"/>
    <w:p>
      <w:pPr>
        <w:ind w:right="4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amended and restated certificate of incorporation and amended and restated bylaws, and provisions of Delaware law, could impair a takeover attempt.</w:t>
      </w:r>
    </w:p>
    <w:p>
      <w:pPr>
        <w:spacing w:after="0" w:line="198"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Delaware law contain provisions which could have the effect of rendering more difficult, delaying, or preventing an acquisition deemed undesirable by our Board of Directors. Among other things, our amended and restated certificate of incorporation and amended and restated bylaws include provisions:</w:t>
      </w:r>
    </w:p>
    <w:p>
      <w:pPr>
        <w:spacing w:after="0" w:line="21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our stockholders to call and bring business before special meetings;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our Board of Directors is classified into three classes of directors with staggered three-year terms;</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permitting the Board of Directors to fix the number of directors and to fill vacancies;</w:t>
      </w:r>
    </w:p>
    <w:p>
      <w:pPr>
        <w:ind w:left="660" w:hanging="328"/>
        <w:spacing w:after="0" w:line="234"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in the election of directors;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7" w:lineRule="exact"/>
        <w:rPr>
          <w:rFonts w:ascii="Times New Roman" w:cs="Times New Roman" w:eastAsia="Times New Roman" w:hAnsi="Times New Roman"/>
          <w:sz w:val="18"/>
          <w:szCs w:val="18"/>
          <w:color w:val="auto"/>
        </w:rPr>
      </w:pPr>
    </w:p>
    <w:p>
      <w:pPr>
        <w:ind w:left="660" w:right="40" w:hanging="328"/>
        <w:spacing w:after="0" w:line="235"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of Directors and stockholder meetings; and</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designating a state court located in the State of Delaware as the sole and exclusive forum for specified matters.</w:t>
      </w:r>
    </w:p>
    <w:p>
      <w:pPr>
        <w:spacing w:after="0" w:line="22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3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amended and restated bylaws or Delaware law that has the effect of delaying, preventing or deterring a change in control could limit the opportunity for our stockholders to receive a premium for their shares of our common stock or other securities and could also affect the price that some investors are willing to pay for our common stock or other securities.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 of possibly becoming an investment company under the Investment Company Act.</w:t>
      </w:r>
    </w:p>
    <w:p>
      <w:pPr>
        <w:spacing w:after="0" w:line="256"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The Investment Company Act regulates certain companies that invest in, hold or trade securities. Primarily as a result of a portion of our assets consisting of indirectly-held minority investment positions through the Medici Ventures, L.P. fund, we are subject to the risk of inadvertently becoming an investment company. Because registration under the Investment Company Act would make it impractical for us to operate our business, we need to avoid becoming subject to the registration requirements of the Investment Company Act. To do so, we may structure transactions in a less advantageous manner than if we did not have Investment Company Act concerns, or we may avoid otherwise economically desirable transactions and/or strategic initiatives due to those concerns. In addition, events beyond our control, including significant appreciation or depreciation in the value of certain of our holdings or adverse developments with respect to our ownership of certain of our subsidiaries, could result in us inadvertently becoming an investment company. If it were established that we were an investment company, there would be a risk, among other material adverse consequences, that we could become subject to monetary penalties or injunctive relief, or both, in an action brought by the SEC, that we would be unable to enforce contracts with third parties or that third parties could seek to obtain rescission of transactions with us undertaken during the period it was established that we were an unregistered investment company. If it were established that we were an investment company, it would have a material adverse effect on our business and financial operations and our ability to continue our business.</w:t>
      </w: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27" w:right="399" w:bottom="1440" w:gutter="0" w:footer="0" w:header="0"/>
        </w:sectPr>
      </w:pPr>
    </w:p>
    <w:bookmarkStart w:id="23" w:name="page24"/>
    <w:bookmarkEnd w:id="23"/>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9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 Management and Strategy</w:t>
      </w:r>
    </w:p>
    <w:p>
      <w:pPr>
        <w:spacing w:after="0" w:line="254"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Our company recognizes the critical importance of cybersecurity in our digital operations and has established a robust risk management program to address both internal and external cybersecurity threats. This program, guided by industry frameworks like NIST CSF and overseen by experienced leadership teams, integrates advanced security tools and practices into our broader enterprise risk management system, actively involving our Executive team and Board of Directors in its oversight. Despite our comprehensive efforts and critical resource allocation, we acknowledge the challenges posed by the evolving nature of cyber threats and the limitations in fully mitigating these risks. We have not observed any significant impacts from known cybersecurity threats or previous incidents on our operational, strategic, or financial aspects. Nevertheless, given the unpredictable nature of cyber threats, we cannot assure complete immunity against potential future impacts.</w:t>
      </w:r>
    </w:p>
    <w:p>
      <w:pPr>
        <w:spacing w:after="0" w:line="21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likelihood of cybersecurity incidents is influenced by frequency risk factors. External factors include market trends in cybercrime, technological advancements in hacking methods, and geopolitical developments. Internal factors are shaped by our policies, the effectiveness of employee training, and robustness of system updates and maintenance procedures. External cybersecurity incidents events may include and are not limited to service disruptions due to email borne threat activities, ransomware, or denial of service attacks against us or our suppliers, while internal events may comprise of internal threats, subcontractors, or governance failures among other events.</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Cybersecurity incident response plans are regularly updated to include structured processes encompassing identification, containment, eradication, recovery, and post-incident review. Continuous monitoring of systems and networks allows for the detection and response to potential cybersecurity threats. Response capabilities are regularly reviewed to align with the evolving cyber threat landscape and processes are fully integrated into our broader risk management system.</w:t>
      </w:r>
    </w:p>
    <w:p>
      <w:pPr>
        <w:spacing w:after="0" w:line="207"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Criteria used to determine the materiality of an incident includes, but is not limited to, evaluating the scope, nature, type, systems, data, operational impact, and pervasiveness of the incident. This approach involves continuous oversight and improvement based on evolving cyber threats. Materiality also considers both quantitative and qualitative factors in determining impact.</w:t>
      </w:r>
    </w:p>
    <w:p>
      <w:pPr>
        <w:spacing w:after="0" w:line="20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Third-party engagement processes include risk evaluation across various domains such as cybersecurity, data privacy, supply chain, and regulatory compliance. We are committed to transparently disclosing material and unauthorized cybersecurity incidents involving third-party service providers, considering factors like operational technology system damages, information breaches, and interconnected attacks exploiting vulnerabilities.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Governance</w:t>
      </w:r>
    </w:p>
    <w:p>
      <w:pPr>
        <w:spacing w:after="0" w:line="254"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plays a pivotal role in overseeing the organization's preparedness for cyber threats. This involves a comprehensive understanding of our risk profile, ensuring appropriate cybersecurity controls are in place, regularly reviewing the effectiveness of these measures, and maintaining a robust incident response plan. The Board's involvement extends beyond compliance and budget approvals to active participation in continuous cybersecurity strategy improvement. The Board enhanced its cybersecurity expertise with the addition of Joanna Burkey in March 2023. Ms. Burkey has an extensive cybersecurity background and has served as CISO at both HP and Siemens.</w:t>
      </w:r>
    </w:p>
    <w:p>
      <w:pPr>
        <w:spacing w:after="0" w:line="210"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Audit Committee, designated as the responsible body for cybersecurity oversight, ensures regular information flow about cybersecurity risks to the Board of Directors. Our cybersecurity program is led by our Chief Information Security Officer (CISO), who has over 20 years of experience in the cybersecurity field. Their expertise is supported by industry certifications, regular participation in leading advanced training programs, and advisement roles. The CISO leads a dedicated team of security professionals who provide comprehensive coverage of critical program capabilities. We prioritize transparency by providing regular reports to the Audit Committee, senior management, and relevant stakeholders, keeping them informed on evolving cyber threats, ongoing assessments, and any significant findings. This collaborative approach ensures informed decision-making and timely response to potential risks, safeguarding our critical assets and valuable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24" w:name="page25"/>
    <w:bookmarkEnd w:id="24"/>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4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own and lease various properties in the United States and internationally. We use the properties for corporate office space, data centers, and warehouse and fulfillment space. As of December 31, 2023, we operated the following facilities (square feet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7"/>
              </w:rPr>
              <w:t>International</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 facilities (1)</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Leased facilities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facilities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158" w:lineRule="exact"/>
        <w:rPr>
          <w:sz w:val="20"/>
          <w:szCs w:val="20"/>
          <w:color w:val="auto"/>
        </w:rPr>
      </w:pPr>
    </w:p>
    <w:p>
      <w:pPr>
        <w:ind w:left="1040" w:hanging="384"/>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2023, the Company listed its owned corporate headquarters for sale.</w:t>
      </w:r>
    </w:p>
    <w:p>
      <w:pPr>
        <w:spacing w:after="0" w:line="39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4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are involved in, or become subject to litigation or other legal proceedings concerning consumer protection, employment, privacy, intellectual property, claims under the securities laws, and other commercial matters related to the conduct and operation of our business and the sale of products on our Website. We also prosecute lawsuits to enforce our legal rights. In connection with such litigation or other legal proceedings, we have been in the past and we may be in the future subject to significant damages, associated costs, or equitable remedies relating to the operation of our business. Such litigation could be costly and time consuming and could divert or distract our management and key personnel from our business operations. Due to the uncertainty of litigation and depending on the amount and the timing, an unfavorable resolution of some or all of such matters could materially affect our business, results of operations, financial position, or cash flows. For additional details, see the information set forth under Item 8 of Part II, "Financial Statements and Supplementary Data"—Note 16—Commitments and Contingencies, subheading Legal Proceedings and Contingencies, contained in the "Notes to Consolidated Financial Statements" of this Annual Report on Form 10-K, which is incorporated by reference in answer to this Item.</w:t>
      </w:r>
    </w:p>
    <w:p>
      <w:pPr>
        <w:spacing w:after="0" w:line="36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4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information</w:t>
      </w:r>
    </w:p>
    <w:p>
      <w:pPr>
        <w:spacing w:after="0" w:line="25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Beginning on November 6, 2023, the principal U.S. trading market for our common stock is the New York Stock Exchange. Our common stock is traded under the symbol "BYON." Our common stock previously traded on the Nasdaq Global Market under the symbol "OSTK."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Holders</w:t>
      </w:r>
    </w:p>
    <w:p>
      <w:pPr>
        <w:spacing w:after="0" w:line="22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As of February 16, 2024, there were 350 holders of record of our common stock. Many of our shares of common stock are held by brokers and other institutions on behalf of the beneficial owners.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5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intend to retain any earnings for future growth and do not anticipate paying any cash dividends on our common stock in the foreseeable future. Any future determination to pay any dividends on our common stock will be at the discretion of our Board of Directors and will depend on our results of operations, financial conditions, contractual and legal restrictions and other factors the Board of Directors deems relevant.</w:t>
      </w:r>
    </w:p>
    <w:p>
      <w:pPr>
        <w:spacing w:after="0" w:line="19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declared and paid a cash dividend of $0.16 per share on our preferred stock during 2021. As discussed below under "—Preferred Stock Conversion," we converted all of our then-outstanding Series A-1 and Series B preferred stock into common stock on June 10, 2022, and did not pay a cash dividend prior to conversion in 2022. At December 31, 2023 and 2022, we had no preferred stock outstanding.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sales of unregistered securities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5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See Note 18—Stockholders' Equity in the "Notes to Consolidated Financial Statements" included in Item 8 of Part II, "Financial Statements and Supplementary Data" of this Annual Report on Form 10-K for information regarding our authorized share repurchase program. There were no repurchases made during the three months ended December 31, 2023. As of December 31, 2023, the approximate dollar value of shares that may yet be purchased under the stock repurchase program is $69.9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 Conversion</w:t>
      </w:r>
    </w:p>
    <w:p>
      <w:pPr>
        <w:spacing w:after="0" w:line="25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May 12, 2022, Beyond shareholders voted to approve separate proposals to approve the amendment of the Company's Amended and Restated Certificate of Designation for both classes of its preferred stock to provide that each share of our Series A-1 and Series B preferred stock would be automatically converted into 0.90 of a share of our common stock (the "Conversion"). On June 10, 2022, in connection with the completion of the Conversion, the Company issued 4,097,697 shares of our common stock in exchange for the outstanding Series A-1 and Series B preferred stock on that date. As the fair value of our common stock issued exceeded the fair value of the Series A-1 and Series B preferred stock exchanged on the Conversion date, we recognized a non-cash deemed dividend to our preferred stockholders of $1.7 million due to the excess fair value per share compared to the conversion ratio. Following the Conversion, the Company eliminated the Series A-1 and Series B preferred stock class by filing Certificates of Elimination with the Delaware Secretary of State. The shares of preferred stock previously designated as Series A-1 and Series B preferred stock returned to the status of authorized and undesignated shares of preferred stock under our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COMPARISON OF 5-YEAR CUMULATIVE TOTAL RETURN</w:t>
      </w:r>
    </w:p>
    <w:p>
      <w:pPr>
        <w:spacing w:after="0" w:line="14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graph shows a comparison of the cumulative total stockholder return on our common stock with the cumulative total returns of NASDAQ Market Index, the S&amp;P 500 Index, the S&amp;P Retail Select Index, and the NYSE Composite TR. The graph tracks the performance of a $100 investment in our common stock and in each of the indexes during the last five fiscal years ended December 31, 2023. Data for the NASDAQ Market Index, the S&amp;P 500 Index, the S&amp;P Retail Select Index, and the NYSE Composite TR assume reinvestment of dividends. Stockholder returns over the indicated period are based on historical data and should not be considered indicative of future stockholder returns. They do not necessarily reflect management's opinion that such indices are an appropriate measure of the relative performance of the stock involved, and they are not intended to forecast or be indicative of possible future performance of the Company's common stock. Because our common stock traded on both the Nasdaq Global Market and the New York Stock Exchange for different portions of 2023, we elected to add the NYSE Composite TR to the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90170</wp:posOffset>
            </wp:positionV>
            <wp:extent cx="5263515" cy="4114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6351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Prepared by Zacks Investment Research, Inc. Used with permission. All rights reserved. Copyright 1980-2024.</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Index Data: Copyright Standard and Poor's, Inc. Used with permission. All rights reserved.</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Index Data: Copyright NASDAQ OMX, Inc. Used with permission. 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Reserved.</w:t>
      </w:r>
    </w:p>
    <w:p>
      <w:pPr>
        <w:spacing w:after="0" w:line="39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6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contains forward-looking statements relating to future events or our future financial or operating performance that involve risks and uncertainties, as set forth above under "Special Cautionary Note Regarding Forward Looking Statements." or in Item 1A under the heading "Risk Factors" or included elsewhere in this Annual Report on Form 10-K. In addition, our future results may be significantly different from our historical results.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Beyond is dedicated to providing, through our Bed Bath &amp; Beyond brand and other brands, an extensive array of furniture and home furnishings and related services, tailored especially for our target customers—consumers who seek comprehensive support throughout their shopping journey, aspiring to discover quality, stylish products at competitive prices that align with their budget requirements. We anticipate a continued shift of the furniture and home furnishings market away from traditional brick-and-mortar stores and toward online sales as consumers increasingly embrace the convenience of online shopping.</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regularly refresh our product assortment to reflect the evolving preferences of our customers and stay aligned with current trends. Our range of products includes furniture, bedding and bath essentials, patio and outdoor gear, area rugs, tabletop and cookware, décor, storage and organization solutions, small appliances, home improvement items, and more. In addition, we seek to provide customers with relevant home financial products and services. Leveraging an asset-light supply chain, we offer direct shipping to customers from both our suppliers and warehouses.</w:t>
      </w:r>
    </w:p>
    <w:p>
      <w:pPr>
        <w:spacing w:after="0" w:line="20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Key drivers fueling our growth strategy include expanding our home assortment, including products and services, enhancing the findability of our products for customers, boosting mobile app adoption to drive higher customer retention and brand loyalty, optimizing marketing efforts to elevate consumer's consideration of our brands for shopping, expanding our customer base in Canada, and growing market share by fortifying our brand pillars of "Selection," "Findability," "Value," and "Support." For a comprehensive overview of our business, refer to Item 1—"Business—Our Business."</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acquired the Bed Bath &amp; Beyond brand and certain related intellectual property in July 2023. In November 2023, we changed our corporate name from Overstock.com, Inc. to Beyond, Inc., and transferred the principal listing of our common stock from the Nasdaq Global Market to the New York Stock Exchange.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Executive Commentary</w:t>
      </w:r>
    </w:p>
    <w:p>
      <w:pPr>
        <w:spacing w:after="0" w:line="254"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This executive commentary is intended to provide investors with a view of our business through the eyes of our management. As an executive commentary, it necessarily focuses on selected aspects of our business. This executive commentary is intended as a supplement to, but not a substitute for, the more detailed discussion of our business included elsewhere herein. Investors are cautioned to read our entire "Management's Discussion and Analysis of Financial Condition and Results of Operations," and our interim and audited financial statements, and the discussion of our business and risk factors and other information included elsewhere or incorporated in this report. This executive commentary includes forward-looking statements, and investors are cautioned to read "Special Cautionary Note Regarding Forward-Looking Statements."</w:t>
      </w:r>
    </w:p>
    <w:p>
      <w:pPr>
        <w:spacing w:after="0" w:line="21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consolidated cash and cash equivalents balance decreased from $371.3 million as of December 31, 2022 to $302.6 million as of December 31, 2023, a decrease of $68.7 million, primarily as the result of purchases of intangible assets of $25.8 million relating to our acquisition of the Bed Bath &amp; Beyond brand, expenditures of property and equipment of $19.2 million, and net cash outflows from operating activities of $18.6 million during the year ended December 31, 2023.</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 decreased 19% in 2023 compared to 2022. This decrease was primarily due to a decrease in average order value of 16% and a 4% decrease in the number of customer orders delivered. The decrease in average order value was largely driven by orders mixing into categories with lower average unit retail price. The decrease in orders delivered was largely driven by the impact of macroeconomic factors and uncertainty impacting consumer sentiment, a shift in consumer spending preferences, and our strategy to exit non-home categories, partially offset by an increase in orders delivered following the launch of the Bed Bath &amp; Beyond brand in August.</w:t>
      </w:r>
    </w:p>
    <w:p>
      <w:pPr>
        <w:spacing w:after="0" w:line="210"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Gross profit decreased 29% in 2023 compared to 2022 primarily due to lower sales and a decrease in gross margin. Gross margin decreased to 20.1% in 2023, compared to 23.0% in 2022, primarily due to increased promotional discounting and carrier costs. The decrease was partially offset by operational efficiencies.</w:t>
      </w:r>
    </w:p>
    <w:p>
      <w:pPr>
        <w:spacing w:after="0" w:line="203"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as a percentage of revenue increased to 14.4% in 2023 compared to 11.2% in 2022, primarily due to increased performance marketing expense, partially offset by lower brand advertising.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Technology expenses decreased $4.0 million in 2023 compared to 2022, primarily due to a reduction in staff-related expenses.</w:t>
      </w:r>
    </w:p>
    <w:p>
      <w:pPr>
        <w:spacing w:after="0" w:line="25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$10.7 million in 2023 compared to 2022, primarily due to increased legal fees, Bed Bath &amp; Beyond brand integration expenses, and severance.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commentary related to macroeconomic trends</w:t>
      </w:r>
    </w:p>
    <w:p>
      <w:pPr>
        <w:spacing w:after="0" w:line="256"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We continue to monitor recent macroeconomic trends, including, but not limited to, geopolitical events, fluctuating interest rates, and inflation. These events have and may continue to negatively impact consumer confidence and consumer spending which have and may continue to adversely affect our business and our results of operations. Due to the uncertain and constantly evolving nature and volatility created by these disruptions to global economic activities, we cannot currently predict the long-term impact of these events on our operations and financial results. Nevertheless, as of December 31, 2023, the challenges arising from these events have not adversely affected our liquidity or capacity to service our debt, nor have these conditions required us to reduce our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5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believe that our cash and cash equivalents currently on hand and expected cash flows from future operations will be sufficient to continue operations for at least the next twelve months. We continue to monitor, evaluate, and manage our operating plans, forecasts, and liquidity considering the most recent developments driven by macroeconomic conditions, such as supply chain challenges, inflation, rising interest rates, and geopolitical events. We proactively seek opportunities to improve the efficiency of our operations and have in the past and may in the future take steps to realize internal cost savings, including aligning our staffing needs, creating a more variable cost structure to better support our current and expected future levels of operations and process streamlining.</w:t>
      </w:r>
    </w:p>
    <w:p>
      <w:pPr>
        <w:spacing w:after="0" w:line="21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periodically evaluate opportunities to repurchase our equity securities, obtain credit facilities, or issue additional debt or equity securities, which may impact our future operations and liquidity. In addition, we may, from time to time, consider the investment in, or acquisition of, complementary businesses, products, services, or technologies to expand our business, any of which might affect our liquidity requirements or cause us to issue additional debt or equity securities that would be dilutive to shareholders.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sources of liquidity</w:t>
      </w:r>
    </w:p>
    <w:p>
      <w:pPr>
        <w:spacing w:after="0" w:line="254"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existing cash and cash equivalents, and accounts receivable, net. At December 31, 2023, we had cash and cash equivalents of $302.6 million and accounts receivable, net of $19.4 million.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Cash flow information is as follows (in thousands):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51"/>
        </w:trPr>
        <w:tc>
          <w:tcPr>
            <w:tcW w:w="79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9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(12,535)</w:t>
            </w:r>
          </w:p>
        </w:tc>
      </w:tr>
      <w:tr>
        <w:trPr>
          <w:trHeight w:val="230"/>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(33,034)</w:t>
            </w:r>
          </w:p>
        </w:tc>
      </w:tr>
      <w:tr>
        <w:trPr>
          <w:trHeight w:val="234"/>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(86,340)</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54"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Cash received from customers generally corresponds to our net revenue as our customers primarily use credit cards to buy from us, causing our receivables from these sales transactions to settle quickly. We have payment terms with our partners that generally extend beyond the amount of time necessary to collect proceeds from our customers.</w:t>
      </w:r>
    </w:p>
    <w:p>
      <w:pPr>
        <w:spacing w:after="0" w:line="203" w:lineRule="exact"/>
        <w:rPr>
          <w:sz w:val="20"/>
          <w:szCs w:val="20"/>
          <w:color w:val="auto"/>
        </w:rPr>
      </w:pPr>
    </w:p>
    <w:p>
      <w:pPr>
        <w:ind w:right="320" w:firstLine="648"/>
        <w:spacing w:after="0" w:line="312" w:lineRule="auto"/>
        <w:rPr>
          <w:sz w:val="20"/>
          <w:szCs w:val="20"/>
          <w:color w:val="auto"/>
        </w:rPr>
      </w:pPr>
      <w:r>
        <w:rPr>
          <w:rFonts w:ascii="Times New Roman" w:cs="Times New Roman" w:eastAsia="Times New Roman" w:hAnsi="Times New Roman"/>
          <w:sz w:val="17"/>
          <w:szCs w:val="17"/>
          <w:color w:val="auto"/>
        </w:rPr>
        <w:t>The $18.6 million of net cash used by operating activities during the year ended December 31, 2023 was primarily due to loss from continuing operations, adjusted for non-cash items, of $60.1 million, offset by cash provided by changes in operating assets and liabilities of $41.5 million.</w:t>
      </w:r>
    </w:p>
    <w:p>
      <w:pPr>
        <w:spacing w:after="0" w:line="16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$12.5 million of net cash used by operating activities during the year ended December 31, 2022 was primarily due to income from continuing operations, adjusted for non-cash items, of $67.8 million, offset by cash used by changes in operating assets and liabilities of $80.3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54"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$44.6 million of net cash used in investing activities during the year ended December 31, 2023 was primarily due to purchases of intangible assets of $25.8 million related to Bed Bath &amp; Beyond and expenditures for property and equipment of $19.2 million.</w:t>
      </w:r>
    </w:p>
    <w:p>
      <w:pPr>
        <w:spacing w:after="0" w:line="18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$33.0 million of net cash used in investing activities during the year ended December 31, 2022 was primarily due to purchases of equity securities of $18.9 million and expenditures for property and equipment of $14.9 million.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$5.5 million of net cash used in financing activities during the year ended December 31, 2023 was primarily due to payments of taxes withheld upon vesting of employee stock awards of $3.8 million and payments on long-term debt of $3.6 million.</w:t>
      </w:r>
    </w:p>
    <w:p>
      <w:pPr>
        <w:spacing w:after="0" w:line="18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$86.3 million of net cash used in financing activities during the year ended December 31, 2022 was primarily due to repurchases of our common stock and Series A-1 preferred stock under the Repurchase Program of $80.1 million, payments of taxes withheld upon vesting of employee stock awards of $3.7 million, and payments on long-term debt of $3.4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2023 and the effect such obligations and commitments are expected to have on our liquidity and cash flow in future periods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30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Less than 1 year</w:t>
            </w:r>
          </w:p>
        </w:tc>
        <w:tc>
          <w:tcPr>
            <w:tcW w:w="220" w:type="dxa"/>
            <w:vAlign w:val="bottom"/>
          </w:tcPr>
          <w:p>
            <w:pPr>
              <w:spacing w:after="0"/>
              <w:rPr>
                <w:sz w:val="14"/>
                <w:szCs w:val="14"/>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220" w:type="dxa"/>
            <w:vAlign w:val="bottom"/>
          </w:tcPr>
          <w:p>
            <w:pPr>
              <w:spacing w:after="0"/>
              <w:rPr>
                <w:sz w:val="14"/>
                <w:szCs w:val="14"/>
                <w:color w:val="auto"/>
              </w:rPr>
            </w:pP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60" w:type="dxa"/>
            <w:vAlign w:val="bottom"/>
          </w:tcPr>
          <w:p>
            <w:pPr>
              <w:spacing w:after="0"/>
              <w:rPr>
                <w:sz w:val="14"/>
                <w:szCs w:val="14"/>
                <w:color w:val="auto"/>
              </w:rPr>
            </w:pPr>
          </w:p>
        </w:tc>
        <w:tc>
          <w:tcPr>
            <w:tcW w:w="120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More than 5</w:t>
            </w:r>
          </w:p>
        </w:tc>
        <w:tc>
          <w:tcPr>
            <w:tcW w:w="0" w:type="dxa"/>
            <w:vAlign w:val="bottom"/>
          </w:tcPr>
          <w:p>
            <w:pPr>
              <w:spacing w:after="0"/>
              <w:rPr>
                <w:sz w:val="1"/>
                <w:szCs w:val="1"/>
                <w:color w:val="auto"/>
              </w:rPr>
            </w:pPr>
          </w:p>
        </w:tc>
      </w:tr>
      <w:tr>
        <w:trPr>
          <w:trHeight w:val="243"/>
        </w:trPr>
        <w:tc>
          <w:tcPr>
            <w:tcW w:w="406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460" w:type="dxa"/>
            <w:vAlign w:val="bottom"/>
            <w:gridSpan w:val="3"/>
            <w:vMerge w:val="continue"/>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0" w:type="dxa"/>
            <w:vAlign w:val="bottom"/>
          </w:tcPr>
          <w:p>
            <w:pPr>
              <w:spacing w:after="0"/>
              <w:rPr>
                <w:sz w:val="1"/>
                <w:szCs w:val="1"/>
                <w:color w:val="auto"/>
              </w:rPr>
            </w:pPr>
          </w:p>
        </w:tc>
      </w:tr>
      <w:tr>
        <w:trPr>
          <w:trHeight w:val="223"/>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 (1)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Loan agreements (2)</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36,350</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36,350</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117" w:lineRule="exact"/>
        <w:rPr>
          <w:sz w:val="20"/>
          <w:szCs w:val="20"/>
          <w:color w:val="auto"/>
        </w:rPr>
      </w:pPr>
    </w:p>
    <w:p>
      <w:pPr>
        <w:ind w:left="980" w:right="40" w:hanging="324"/>
        <w:spacing w:after="0" w:line="257" w:lineRule="auto"/>
        <w:tabs>
          <w:tab w:leader="none" w:pos="10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future minimum lease payments under non-cancellable operating leases. For information regarding our operating lease obligations, see Item 8 of Part II, "Financial Statements and Supplementary Data"—Note 14—Leases contained in the "Notes to Consolidated Financial Statements" of this Annual Report on Form 10-K.</w:t>
      </w:r>
    </w:p>
    <w:p>
      <w:pPr>
        <w:spacing w:after="0" w:line="1" w:lineRule="exact"/>
        <w:rPr>
          <w:rFonts w:ascii="Times New Roman" w:cs="Times New Roman" w:eastAsia="Times New Roman" w:hAnsi="Times New Roman"/>
          <w:sz w:val="18"/>
          <w:szCs w:val="18"/>
          <w:color w:val="auto"/>
        </w:rPr>
      </w:pPr>
    </w:p>
    <w:p>
      <w:pPr>
        <w:ind w:left="980" w:right="120" w:hanging="324"/>
        <w:spacing w:after="0" w:line="255" w:lineRule="auto"/>
        <w:tabs>
          <w:tab w:leader="none" w:pos="10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future interest and principal payments on our financing agreements. For information regarding our financing agreements, see Item 8 of Part II, "Financial Statements and Supplementary Data"—Note 13—Borrowings contained in the "Notes to Consolidated Financial Statements" of this Annual Report on Form 10-K.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contingencies</w:t>
      </w:r>
    </w:p>
    <w:p>
      <w:pPr>
        <w:spacing w:after="0" w:line="25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are involved in various tax matters, the outcomes of which are uncertain. As of December 31, 2023, and 2022, tax contingencies were $3.7 million and $3.5 million, respectively, which are included in our reconciliation of unrecognized tax benefits (see Item 8 of Part II, "Financial Statements and Supplementary Data"—Note 24—Income Taxes contained in the "Notes to Consolidated Financial Statements" of this Annual Report on Form 10-K). Changes in federal, foreign, state, and local tax laws may increase our tax contingencies. The timing of the resolution of income tax contingencies is highly uncertain, and the amounts ultimately paid, if any, upon resolution of issues raised by the taxing authorities may differ from the amounts accrued. It is reasonably possible that within the next 12 months we will receive additional assessments by various tax authorities. These assessments may or may not result in changes to our contingencies related to positions on prior years' tax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Annual Report on Form 10-K for the year ended December 31, 2022, filed February 24, 2023, includes a discussion and analysis of our year-over-year changes, financial condition, and results of operations for the years ended December 31, 2022 and 2021 in Item 7 of Part II, "Management's Discussion and Analysis of Financial Condition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 costs of goods sold, gross profit and gross margin</w:t>
      </w:r>
    </w:p>
    <w:p>
      <w:pPr>
        <w:spacing w:after="0" w:line="25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net revenue, costs of goods sold, gross profit and gross margin for the years ended December 31, 2023 and 2022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7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revenue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1,561,122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1,929,334</w:t>
            </w:r>
          </w:p>
        </w:tc>
      </w:tr>
      <w:tr>
        <w:trPr>
          <w:trHeight w:val="23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Product costs and other cost of goods sold</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1,185,170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1,409,197</w:t>
            </w:r>
          </w:p>
        </w:tc>
      </w:tr>
      <w:tr>
        <w:trPr>
          <w:trHeight w:val="229"/>
        </w:trPr>
        <w:tc>
          <w:tcPr>
            <w:tcW w:w="77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Merchant fees, customer service, and other</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61,946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76,793</w:t>
            </w:r>
          </w:p>
        </w:tc>
      </w:tr>
      <w:tr>
        <w:trPr>
          <w:trHeight w:val="22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 of goods sold</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1,247,116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1,485,990</w:t>
            </w:r>
          </w:p>
        </w:tc>
      </w:tr>
      <w:tr>
        <w:trPr>
          <w:trHeight w:val="223"/>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314,006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443,344</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Year-over-year percentage changes</w:t>
            </w:r>
          </w:p>
        </w:tc>
        <w:tc>
          <w:tcPr>
            <w:tcW w:w="39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revenue</w:t>
            </w:r>
          </w:p>
        </w:tc>
        <w:tc>
          <w:tcPr>
            <w:tcW w:w="39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(19.1)%</w:t>
            </w:r>
          </w:p>
        </w:tc>
        <w:tc>
          <w:tcPr>
            <w:tcW w:w="1180" w:type="dxa"/>
            <w:vAlign w:val="bottom"/>
          </w:tcPr>
          <w:p>
            <w:pPr>
              <w:spacing w:after="0"/>
              <w:rPr>
                <w:sz w:val="19"/>
                <w:szCs w:val="19"/>
                <w:color w:val="auto"/>
              </w:rPr>
            </w:pPr>
          </w:p>
        </w:tc>
      </w:tr>
      <w:tr>
        <w:trPr>
          <w:trHeight w:val="230"/>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39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(29.2)%</w:t>
            </w:r>
          </w:p>
        </w:tc>
        <w:tc>
          <w:tcPr>
            <w:tcW w:w="1180" w:type="dxa"/>
            <w:vAlign w:val="bottom"/>
            <w:shd w:val="clear" w:color="auto" w:fill="CCEEFF"/>
          </w:tcPr>
          <w:p>
            <w:pPr>
              <w:spacing w:after="0"/>
              <w:rPr>
                <w:sz w:val="19"/>
                <w:szCs w:val="19"/>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 of total net revenue</w:t>
            </w:r>
          </w:p>
        </w:tc>
        <w:tc>
          <w:tcPr>
            <w:tcW w:w="39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39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 costs and other cost of goods sold</w:t>
            </w:r>
          </w:p>
        </w:tc>
        <w:tc>
          <w:tcPr>
            <w:tcW w:w="39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75.9 %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73.0 %</w:t>
            </w:r>
          </w:p>
        </w:tc>
      </w:tr>
      <w:tr>
        <w:trPr>
          <w:trHeight w:val="230"/>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Merchant fees, customer service, and other</w:t>
            </w:r>
          </w:p>
        </w:tc>
        <w:tc>
          <w:tcPr>
            <w:tcW w:w="39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4.0 %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9"/>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goods sold</w:t>
            </w:r>
          </w:p>
        </w:tc>
        <w:tc>
          <w:tcPr>
            <w:tcW w:w="39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79.9 %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77.0 %</w:t>
            </w:r>
          </w:p>
        </w:tc>
      </w:tr>
      <w:tr>
        <w:trPr>
          <w:trHeight w:val="230"/>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margin</w:t>
            </w:r>
          </w:p>
        </w:tc>
        <w:tc>
          <w:tcPr>
            <w:tcW w:w="39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20.1 %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r>
    </w:tbl>
    <w:p>
      <w:pPr>
        <w:spacing w:after="0" w:line="30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19% decrease in net revenue for the year ended December 31, 2023, as compared to the same period in 2022, was primarily due to a decrease in average order value of 16% and a 4% decrease in the number of customer orders delivered. The decrease in average order value was largely driven by orders mixing into categories with lower average unit retail price. The decrease in orders delivered was largely driven by the impact of macroeconomic factors and uncertainty impacting consumer sentiment, a shift in consumer spending preferences, and our strategy to exit non-home categories, partially offset by an increase in orders delivered following the launch of the Bed Bath &amp; Beyond brand in August.</w:t>
      </w:r>
    </w:p>
    <w:p>
      <w:pPr>
        <w:spacing w:after="0" w:line="210"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We cannot estimate the impact that macroeconomic conditions, such as supply chain challenges, inflation, rising interest rates, or geopolitical events will have on consumer sentiment and our business in the future due to the unpredictable nature of the ultimate development and duration of these conditions.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International net revenues were less than 3% of total net revenues for 2023 and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Estimate of unearned product revenue on undelivered product</w:t>
      </w:r>
    </w:p>
    <w:p>
      <w:pPr>
        <w:spacing w:after="0" w:line="25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revenue related to merchandise sales is recognized upon delivery to our customers. As we ship high volumes of packages through multiple carriers, it is not practical for us to track the actual delivery date of each shipment. Therefore, we use estimates to determine which shipments are delivered and, therefore, recognized as revenue at the end of the period. Our delivery date estimates are based on average shipping transit times. We review and update our estimates on a quarterly basis based on our actual transit time experience. However, actual shipping times may differ from our estimates, which can be further impacted by uncertainty, volatility, and any disruption to our carriers caused by certain macroeconomic conditions, such as supply chain challenges, inflation, rising interest rates, or geopolitical events.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2" w:name="page33"/>
    <w:bookmarkEnd w:id="32"/>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effect that hypothetical changes in the estimate of average shipping transit times would have on the reported amount of revenue and income before taxes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0" w:type="dxa"/>
            <w:vAlign w:val="bottom"/>
          </w:tcPr>
          <w:p>
            <w:pPr>
              <w:spacing w:after="0"/>
              <w:rPr>
                <w:sz w:val="1"/>
                <w:szCs w:val="1"/>
                <w:color w:val="auto"/>
              </w:rPr>
            </w:pPr>
          </w:p>
        </w:tc>
      </w:tr>
      <w:tr>
        <w:trPr>
          <w:trHeight w:val="169"/>
        </w:trPr>
        <w:tc>
          <w:tcPr>
            <w:tcW w:w="7980" w:type="dxa"/>
            <w:vAlign w:val="bottom"/>
          </w:tcPr>
          <w:p>
            <w:pPr>
              <w:spacing w:after="0"/>
              <w:rPr>
                <w:sz w:val="14"/>
                <w:szCs w:val="14"/>
                <w:color w:val="auto"/>
              </w:rPr>
            </w:pPr>
          </w:p>
        </w:tc>
        <w:tc>
          <w:tcPr>
            <w:tcW w:w="1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158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Increase (Decrease)</w:t>
            </w:r>
          </w:p>
        </w:tc>
        <w:tc>
          <w:tcPr>
            <w:tcW w:w="0" w:type="dxa"/>
            <w:vAlign w:val="bottom"/>
          </w:tcPr>
          <w:p>
            <w:pPr>
              <w:spacing w:after="0"/>
              <w:rPr>
                <w:sz w:val="1"/>
                <w:szCs w:val="1"/>
                <w:color w:val="auto"/>
              </w:rPr>
            </w:pPr>
          </w:p>
        </w:tc>
      </w:tr>
      <w:tr>
        <w:trPr>
          <w:trHeight w:val="176"/>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the Estimate of Average Transit Times (Days)</w:t>
            </w:r>
          </w:p>
        </w:tc>
        <w:tc>
          <w:tcPr>
            <w:tcW w:w="16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Income Before</w:t>
            </w:r>
          </w:p>
        </w:tc>
        <w:tc>
          <w:tcPr>
            <w:tcW w:w="0" w:type="dxa"/>
            <w:vAlign w:val="bottom"/>
          </w:tcPr>
          <w:p>
            <w:pPr>
              <w:spacing w:after="0"/>
              <w:rPr>
                <w:sz w:val="1"/>
                <w:szCs w:val="1"/>
                <w:color w:val="auto"/>
              </w:rPr>
            </w:pPr>
          </w:p>
        </w:tc>
      </w:tr>
      <w:tr>
        <w:trPr>
          <w:trHeight w:val="243"/>
        </w:trPr>
        <w:tc>
          <w:tcPr>
            <w:tcW w:w="79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Pr>
          <w:p>
            <w:pPr>
              <w:spacing w:after="0"/>
              <w:rPr>
                <w:sz w:val="21"/>
                <w:szCs w:val="21"/>
                <w:color w:val="auto"/>
              </w:rPr>
            </w:pPr>
          </w:p>
        </w:tc>
        <w:tc>
          <w:tcPr>
            <w:tcW w:w="1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8"/>
              </w:rPr>
              <w:t>(8,966)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8"/>
              </w:rPr>
              <w:t>(5,322)</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reported</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 reported</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9"/>
              </w:rPr>
              <w:t>As reported</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3,843</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6"/>
              </w:rPr>
              <w:t>295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7,088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6"/>
              </w:rPr>
              <w:t>533</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254"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Our overall gross margins fluctuate based on competitive pricing; inventory management decisions; sales coupons and promotions, including our loyalty program; product mix of sales; advertising revenue and our marketing allowance program; and operational and fulfillment costs. Merchant fees, customer service, and other include merchant processing fees associated with customer payments made by credit cards and other payment methods and other variable fees, customer service costs, costs incurred to operate and staff our warehouses, including rent and depreciation expense associated with these facilities, costs to receive, inspect, pick, and prepare customer order for delivery, and direct and indirect labor costs including payroll, payroll-related benefits, and stock-based compensation, all of which we include as costs in calculating gross margin. Merchant fees, customer service, and other as a percentage of sales may vary due to several factors, such as our ability to effectively manage merchant fees, customer service costs, and warehouse costs. We believe that some companies in our industry, including some of our competitors, account for merchant fees, customer service, and other costs within operating expenses, and therefore exclude merchant fees, customer service, and other costs from gross margin. As a result, our gross margin may not be directly comparable to others in our industry.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margins for the past eight quarterly periods and years ending December 31, 2023 and 2022 were: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Q1</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Q2</w:t>
            </w:r>
          </w:p>
        </w:tc>
        <w:tc>
          <w:tcPr>
            <w:tcW w:w="15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Q3</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Q4</w:t>
            </w:r>
          </w:p>
        </w:tc>
        <w:tc>
          <w:tcPr>
            <w:tcW w:w="14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FY</w:t>
            </w:r>
          </w:p>
        </w:tc>
      </w:tr>
      <w:tr>
        <w:trPr>
          <w:trHeight w:val="223"/>
        </w:trPr>
        <w:tc>
          <w:tcPr>
            <w:tcW w:w="3680" w:type="dxa"/>
            <w:vAlign w:val="bottom"/>
            <w:tcBorders>
              <w:top w:val="single" w:sz="8" w:color="CCEEFF"/>
            </w:tcBorders>
            <w:shd w:val="clear" w:color="auto" w:fill="CCEEFF"/>
          </w:tcPr>
          <w:p>
            <w:pPr>
              <w:jc w:val="right"/>
              <w:ind w:right="3210"/>
              <w:spacing w:after="0"/>
              <w:rPr>
                <w:sz w:val="20"/>
                <w:szCs w:val="20"/>
                <w:color w:val="auto"/>
              </w:rPr>
            </w:pPr>
            <w:r>
              <w:rPr>
                <w:rFonts w:ascii="Times New Roman" w:cs="Times New Roman" w:eastAsia="Times New Roman" w:hAnsi="Times New Roman"/>
                <w:sz w:val="18"/>
                <w:szCs w:val="18"/>
                <w:color w:val="auto"/>
                <w:w w:val="99"/>
              </w:rPr>
              <w:t>2023</w:t>
            </w:r>
          </w:p>
        </w:tc>
        <w:tc>
          <w:tcPr>
            <w:tcW w:w="8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r>
      <w:tr>
        <w:trPr>
          <w:trHeight w:val="234"/>
        </w:trPr>
        <w:tc>
          <w:tcPr>
            <w:tcW w:w="3680" w:type="dxa"/>
            <w:vAlign w:val="bottom"/>
          </w:tcPr>
          <w:p>
            <w:pPr>
              <w:jc w:val="right"/>
              <w:ind w:right="3210"/>
              <w:spacing w:after="0"/>
              <w:rPr>
                <w:sz w:val="20"/>
                <w:szCs w:val="20"/>
                <w:color w:val="auto"/>
              </w:rPr>
            </w:pPr>
            <w:r>
              <w:rPr>
                <w:rFonts w:ascii="Times New Roman" w:cs="Times New Roman" w:eastAsia="Times New Roman" w:hAnsi="Times New Roman"/>
                <w:sz w:val="18"/>
                <w:szCs w:val="18"/>
                <w:color w:val="auto"/>
                <w:w w:val="99"/>
              </w:rPr>
              <w:t>2022</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r>
    </w:tbl>
    <w:p>
      <w:pPr>
        <w:spacing w:after="0" w:line="314" w:lineRule="exact"/>
        <w:rPr>
          <w:sz w:val="20"/>
          <w:szCs w:val="20"/>
          <w:color w:val="auto"/>
        </w:rPr>
      </w:pPr>
    </w:p>
    <w:p>
      <w:pPr>
        <w:jc w:val="both"/>
        <w:ind w:right="540" w:firstLine="648"/>
        <w:spacing w:after="0" w:line="266" w:lineRule="auto"/>
        <w:rPr>
          <w:sz w:val="20"/>
          <w:szCs w:val="20"/>
          <w:color w:val="auto"/>
        </w:rPr>
      </w:pPr>
      <w:r>
        <w:rPr>
          <w:rFonts w:ascii="Times New Roman" w:cs="Times New Roman" w:eastAsia="Times New Roman" w:hAnsi="Times New Roman"/>
          <w:sz w:val="18"/>
          <w:szCs w:val="18"/>
          <w:color w:val="auto"/>
        </w:rPr>
        <w:t>Gross profit for the year ended December 31, 2023 decreased 29% compared to the same period in 2022, primarily due to lower sales and a decrease in gross margin. Gross margin decreased to 20.1% for the year ended December 31, 2023, compared to 23.0% for the same period in 2022, primarily due to increased promotional discounting and carrier costs. The decrease was partially offset by operational efficiencies.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54" w:lineRule="exact"/>
        <w:rPr>
          <w:sz w:val="20"/>
          <w:szCs w:val="20"/>
          <w:color w:val="auto"/>
        </w:rPr>
      </w:pPr>
    </w:p>
    <w:p>
      <w:pPr>
        <w:ind w:right="220" w:firstLine="648"/>
        <w:spacing w:after="0" w:line="312" w:lineRule="auto"/>
        <w:rPr>
          <w:sz w:val="20"/>
          <w:szCs w:val="20"/>
          <w:color w:val="auto"/>
        </w:rPr>
      </w:pPr>
      <w:r>
        <w:rPr>
          <w:rFonts w:ascii="Times New Roman" w:cs="Times New Roman" w:eastAsia="Times New Roman" w:hAnsi="Times New Roman"/>
          <w:sz w:val="17"/>
          <w:szCs w:val="17"/>
          <w:color w:val="auto"/>
        </w:rPr>
        <w:t>We use a variety of online advertising channels to attract new and repeat customers, including search engine marketing, personalized emails, mobile app, loyalty program, affiliate marketing, display banners, and social media. We also build our brand awareness through linear and streaming TV.</w:t>
      </w:r>
    </w:p>
    <w:p>
      <w:pPr>
        <w:spacing w:after="0" w:line="16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Costs associated with our loyalty program, discounted shipping, and other promotions, such as coupons, are not included in sales and marketing expense. Rather, they are accounted for as a reduction in revenue as they reduce the amount of consideration we expect to receive in exchange for goods or services and therefore affect net revenues and gross margin. We consider discounted shipping and other promotions, such as our policy for free shipping on certain orders, as an effective marketing tool.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sales and marketing expenses for the years ended December 31, 2023 and 2022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7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224,547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215,477</w:t>
            </w:r>
          </w:p>
        </w:tc>
      </w:tr>
      <w:tr>
        <w:trPr>
          <w:trHeight w:val="229"/>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 expense included in sales and marketing expenses</w:t>
            </w:r>
          </w:p>
        </w:tc>
        <w:tc>
          <w:tcPr>
            <w:tcW w:w="40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214,907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205,523</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Year-over-year percentage change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 expense included in sales and marketing expenses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34"/>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 expense included in sales and marketing expenses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r>
    </w:tbl>
    <w:p>
      <w:pPr>
        <w:spacing w:after="0" w:line="274"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320 basis point increase in sales and marketing expenses as a percent of net revenues for the year ended December 31, 2023, as compared to the same period in 2022, was primarily due to increased performance marketing expense, partially offset by lower brand advertising.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expenses</w:t>
      </w:r>
    </w:p>
    <w:p>
      <w:pPr>
        <w:spacing w:after="0" w:line="25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seek to deploy our capital resources efficiently in technology to support operations including private and public cloud, web services, customer support solutions, and product search, and in technology to enhance the customer experience, including machine learning algorithms, improving our process efficiency, modernizing and expanding our systems, and supporting and expanding our logistics infrastructure. We expect to continue to incur technology expenses to support these efforts and these expenditures may continue to be material.</w:t>
      </w:r>
    </w:p>
    <w:p>
      <w:pPr>
        <w:spacing w:after="0" w:line="20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frequency and variety of cyberattacks on our Website, enterprise systems, services, and on third parties we use to support our technology continues to increase. The impact of such attacks, their costs, and the costs we incur to protect ourselves against future attacks, have not been material to date. However, we consider the risk introduced by cyberattacks to be serious and will continue to incur costs related to efforts to protect ourselves against them.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technology expenses for the years ended December 31, 2023 and 2022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7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expenses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117,154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121,158</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Year-over-year percentage change</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expenses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expenses as a percent of net revenue</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r>
    </w:tbl>
    <w:p>
      <w:pPr>
        <w:spacing w:after="0" w:line="31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$4.0 million decrease in technology expenses for the year ended December 31, 2023, as compared to the same period in 2022, was primarily due to a reduction in staff-related expenses.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years ended December 31, 2023 and 2022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7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90,410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79,701</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Year-over-year percentage change</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 as a percent of net revenue</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bl>
    <w:p>
      <w:pPr>
        <w:spacing w:after="0" w:line="30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$10.7 million increase in general and administrative expenses for the year ended December 31, 2023, as compared to the same period in 2022, was primarily due to increased legal fees, Bed Bath &amp; Beyond brand integration expenses, and severance.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254"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$9.0 million increase in interest income (expense), net for the year ended December 31, 2023, as compared to the same period in 2022, was primarily due to increased interest income on our cash equivalents.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54"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$96.2 million decrease in other income (expense), net for the year ended December 31, 2023, as compared to the same period in 2022, was primarily due to a $76.5 million increase in loss recognized from our equity method securities and a $25.9 million write-down of assets held for sale, partially offset by a $6.4 million realized gain on the disposal of cryptocurrencies.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effective tax rate for the years ended December 31, 2023 and 2022 was (15.7)% and (4.1%), respectively. Our effective tax rate is affected by recurring items such as research tax credits and non-recurring items such as changes in valuation allowances. In addition, relative changes in expenses or losses for which tax benefits are limited or not recognized, fluctuations in our stock price, changes in laws, regulations, and administrative practices can impact our rate. Our effective tax rate is also affected to a lesser extent by tax rates in foreign jurisdictions and the relative amount of income we earn in those jurisdictions, which we expect to be fairly consistent in the near term. Our effective tax rate differs from the statutory federal income tax rate of 21% primarily due to the impacts of changes in the valuation allowance against our deferred tax assets, net of deferred tax liabilities.</w:t>
      </w:r>
    </w:p>
    <w:p>
      <w:pPr>
        <w:spacing w:after="0" w:line="21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OECD has issued Pillar Two model rules introducing a new global minimum tax of 15% intended to be effective on January 1, 2024. While the U.S. has not yet adopted the Pillar Two rules, various other governments around the world are enacting such legislation. As currently designed, we expect Pillar Two will ultimately apply to us. Considering we do not currently have material operations in jurisdictions with tax rates lower than the Pillar Two minimum, these rules are not expected to materially increase our global tax costs based on how we currently do business. There remains uncertainty as to the final Pillar Two model rules. We will continue to monitor U.S. and global legislative action related to Pillar Two for potential impacts.</w:t>
      </w:r>
    </w:p>
    <w:p>
      <w:pPr>
        <w:spacing w:after="0" w:line="210"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As we repatriate foreign earnings for use in the United States, the distributions will generally be exempt from federal and foreign income taxes but may be subject to certain state taxes. As of December 31, 2023, the cumulative amount of foreign earnings considered permanently reinvested upon which taxes have not been provided, and the corresponding unrecognized deferred tax liability, was not material.</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estimates and assumptions that affect the reported amounts of assets and liabilities, revenues and expenses, and related disclosures of contingent assets and liabilities in the consolidated financial statements and accompanying notes. The SEC has defined a company's critical accounting policies as the ones that are most important to the portrayal of the company's financial condition and results of operations, and which require the company to make its most difficult and subjective judgments, often as a result of the need to make estimates of matters that are inherently uncertain. Based on this definition, we have identified the critical accounting policies, estimates and judgments addressed below. We also have other key accounting policies, which involve the use of estimates, judgments, and assumptions that are significant to understanding our results. For additional information, see Item 8 of Part II, "Financial Statements and Supplementary Data"—Note 2—Accounting Policies and Supplemental Disclosures. We believe that our estimates, assumptions, and judgments are reasonable. We evaluate our estimates and assumptions on an ongoing basis. Actual results may differ significantly from these estimates. Our critical accounting policies are as follows:</w:t>
      </w:r>
    </w:p>
    <w:p>
      <w:pPr>
        <w:spacing w:after="0" w:line="221"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certain equity method securities carried at fair value.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certain equity method securities carried at fair value</w:t>
      </w:r>
    </w:p>
    <w:p>
      <w:pPr>
        <w:spacing w:after="0" w:line="25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measured certain equity method securities at fair value at the reporting date. In the absence of quoted market prices (e.g., a privately held entity), the fair value was determined in good faith under our valuation policy and process using generally accepted valuation approaches. We utilized an independent third party valuation firm to assist us in determining the fair value of our direct minority interest in tZERO using a market approach. The market approach relied upon market transaction valuations of the subject company, adjusted for changes in enterprise value for guideline public companies. The fair value determination of our direct minority interest in tZERO required the use of significant unobservable inputs (Level 3 inputs) as shown in the table within Note 2—Accounting Policies and Supplemental Disclosures, </w:t>
      </w:r>
      <w:r>
        <w:rPr>
          <w:rFonts w:ascii="Times New Roman" w:cs="Times New Roman" w:eastAsia="Times New Roman" w:hAnsi="Times New Roman"/>
          <w:sz w:val="18"/>
          <w:szCs w:val="18"/>
          <w:i w:val="1"/>
          <w:iCs w:val="1"/>
          <w:color w:val="auto"/>
        </w:rPr>
        <w:t>Equity securities accounted for under the equity method under ASC 323</w:t>
      </w:r>
      <w:r>
        <w:rPr>
          <w:rFonts w:ascii="Times New Roman" w:cs="Times New Roman" w:eastAsia="Times New Roman" w:hAnsi="Times New Roman"/>
          <w:sz w:val="18"/>
          <w:szCs w:val="18"/>
          <w:color w:val="auto"/>
        </w:rPr>
        <w:t>. Due to the inherent uncertainty of determining the fair value of Level 3 securities that do not have a readily available market value, the determination of fair value required significant judgment or estimation and changes in the estimates and assumptions used in the valuation models could materially affect the determination of fair value for these assets.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36" w:name="page37"/>
    <w:bookmarkEnd w:id="36"/>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We are exposed to market risk for the effect of interest rate changes, foreign currency fluctuations, and changes in the market values of our investments. Information relating to quantitative and qualitative disclosures about these market risks is set forth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w:t>
      </w:r>
    </w:p>
    <w:p>
      <w:pPr>
        <w:spacing w:after="0" w:line="25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our cash and cash equivalents (highly-liquid instruments with an original maturity of 90 days or less at the date of purchase) would not be significantly affected by either an increase or decrease in interest rates due mainly to the short-term nature of these instruments.</w:t>
      </w:r>
    </w:p>
    <w:p>
      <w:pPr>
        <w:spacing w:after="0" w:line="18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Our loan agreements carry a fixed blended annual interest rate of 4.45%. As a result, we have no direct financial statement risk associated with changes in interest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56"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Most of our sales and operating expenses are denominated in U.S. dollars, and therefore, our total revenue and operating expenses are not currently subject to significant foreign currency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Increases in commodity and shipping prices and energy and labor costs have resulted in inflationary pressures across various parts of our business and operations, including our partners and supply chain. We continue to monitor the impact of inflation in order to minimize its effects on our customers. We work with our partners to limit the amount of cost increases that are passed on through higher pricing. If costs borne by ourselves or our partners were to be subject to incremental inflationary pressures, we may not be able to fully offset such higher costs through pricing actions or other cost efficiency measures. Our inability or failure to do so could harm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Risk</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fair values of our equity and debt securities may be subject to fluctuations due to volatility of the stock market in general, investment-specific circumstances, and changes in general economic conditions. At December 31, 2023, our recorded value in equity securities in public and private companies was $155.9 million, compared to $296.3 million at December 31, 2022, of which none relates to publicly traded companies at December 31, 2023, compared to $36,000 at December 31, 2022, recorded at fair value, which are subject to market price volatility. At December 31, 2023, $41.0 million of our equity securities and $10.5 million of our debt securities are of private companies, recorded at fair value using Level 3 inputs. Our fair value assessment of private companies includes a review of recent operating results and trends, recent sales/acquisitions of the equity securities, and other publicly available data. Valuations of private companies are inherently more complex due to the lack of readily available market data. As such, we believe that market sensitivities are not practicable. For our equity interest in Medici Ventures, L.P., we record our proportionate share of the entity's reported net income or loss, which reflects the fair value changes of the underlying investments of the entity and any other income or losses of the entity.</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94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600" w:type="dxa"/>
            <w:vAlign w:val="bottom"/>
          </w:tcPr>
          <w:p>
            <w:pPr>
              <w:spacing w:after="0"/>
              <w:rPr>
                <w:sz w:val="20"/>
                <w:szCs w:val="20"/>
                <w:color w:val="auto"/>
              </w:rPr>
            </w:pPr>
          </w:p>
        </w:tc>
      </w:tr>
      <w:tr>
        <w:trPr>
          <w:trHeight w:val="594"/>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600" w:type="dxa"/>
            <w:vAlign w:val="bottom"/>
          </w:tcPr>
          <w:p>
            <w:pPr>
              <w:spacing w:after="0"/>
              <w:rPr>
                <w:sz w:val="24"/>
                <w:szCs w:val="24"/>
                <w:color w:val="auto"/>
              </w:rPr>
            </w:pPr>
          </w:p>
        </w:tc>
      </w:tr>
      <w:tr>
        <w:trPr>
          <w:trHeight w:val="580"/>
        </w:trPr>
        <w:tc>
          <w:tcPr>
            <w:tcW w:w="2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0"/>
        </w:trPr>
        <w:tc>
          <w:tcPr>
            <w:tcW w:w="20" w:type="dxa"/>
            <w:vAlign w:val="bottom"/>
          </w:tcPr>
          <w:p>
            <w:pPr>
              <w:spacing w:after="0"/>
              <w:rPr>
                <w:sz w:val="18"/>
                <w:szCs w:val="18"/>
                <w:color w:val="auto"/>
              </w:rPr>
            </w:pPr>
          </w:p>
        </w:tc>
        <w:tc>
          <w:tcPr>
            <w:tcW w:w="2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120" w:type="dxa"/>
            <w:vAlign w:val="bottom"/>
            <w:tcBorders>
              <w:top w:val="single" w:sz="8" w:color="0000FF"/>
            </w:tcBorders>
            <w:gridSpan w:val="5"/>
          </w:tcPr>
          <w:p>
            <w:pPr>
              <w:spacing w:after="0"/>
              <w:rPr>
                <w:sz w:val="18"/>
                <w:szCs w:val="18"/>
                <w:color w:val="auto"/>
              </w:rPr>
            </w:pPr>
          </w:p>
        </w:tc>
        <w:tc>
          <w:tcPr>
            <w:tcW w:w="5160" w:type="dxa"/>
            <w:vAlign w:val="bottom"/>
            <w:gridSpan w:val="3"/>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0"/>
        </w:trPr>
        <w:tc>
          <w:tcPr>
            <w:tcW w:w="20" w:type="dxa"/>
            <w:vAlign w:val="bottom"/>
          </w:tcPr>
          <w:p>
            <w:pPr>
              <w:spacing w:after="0"/>
              <w:rPr>
                <w:sz w:val="18"/>
                <w:szCs w:val="18"/>
                <w:color w:val="auto"/>
              </w:rPr>
            </w:pPr>
          </w:p>
        </w:tc>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6560" w:type="dxa"/>
            <w:vAlign w:val="bottom"/>
            <w:gridSpan w:val="7"/>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9"/>
        </w:trPr>
        <w:tc>
          <w:tcPr>
            <w:tcW w:w="20" w:type="dxa"/>
            <w:vAlign w:val="bottom"/>
          </w:tcPr>
          <w:p>
            <w:pPr>
              <w:spacing w:after="0"/>
              <w:rPr>
                <w:sz w:val="18"/>
                <w:szCs w:val="18"/>
                <w:color w:val="auto"/>
              </w:rPr>
            </w:pPr>
          </w:p>
        </w:tc>
        <w:tc>
          <w:tcPr>
            <w:tcW w:w="93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2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Stockholders' Equity</w:t>
            </w:r>
          </w:p>
        </w:tc>
        <w:tc>
          <w:tcPr>
            <w:tcW w:w="50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0"/>
        </w:trPr>
        <w:tc>
          <w:tcPr>
            <w:tcW w:w="20" w:type="dxa"/>
            <w:vAlign w:val="bottom"/>
          </w:tcPr>
          <w:p>
            <w:pPr>
              <w:spacing w:after="0"/>
              <w:rPr>
                <w:sz w:val="18"/>
                <w:szCs w:val="18"/>
                <w:color w:val="auto"/>
              </w:rPr>
            </w:pPr>
          </w:p>
        </w:tc>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500" w:type="dxa"/>
            <w:vAlign w:val="bottom"/>
            <w:gridSpan w:val="6"/>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9"/>
        </w:trPr>
        <w:tc>
          <w:tcPr>
            <w:tcW w:w="20" w:type="dxa"/>
            <w:vAlign w:val="bottom"/>
          </w:tcPr>
          <w:p>
            <w:pPr>
              <w:spacing w:after="0"/>
              <w:rPr>
                <w:sz w:val="18"/>
                <w:szCs w:val="18"/>
                <w:color w:val="auto"/>
              </w:rPr>
            </w:pPr>
          </w:p>
        </w:tc>
        <w:tc>
          <w:tcPr>
            <w:tcW w:w="3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220" w:type="dxa"/>
            <w:vAlign w:val="bottom"/>
            <w:gridSpan w:val="5"/>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0"/>
        </w:trPr>
        <w:tc>
          <w:tcPr>
            <w:tcW w:w="20" w:type="dxa"/>
            <w:vAlign w:val="bottom"/>
          </w:tcPr>
          <w:p>
            <w:pPr>
              <w:spacing w:after="0"/>
              <w:rPr>
                <w:sz w:val="18"/>
                <w:szCs w:val="18"/>
                <w:color w:val="auto"/>
              </w:rPr>
            </w:pPr>
          </w:p>
        </w:tc>
        <w:tc>
          <w:tcPr>
            <w:tcW w:w="34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Schedule II Valuation and Qualifying Accounts</w:t>
            </w:r>
          </w:p>
        </w:tc>
        <w:tc>
          <w:tcPr>
            <w:tcW w:w="5960" w:type="dxa"/>
            <w:vAlign w:val="bottom"/>
            <w:gridSpan w:val="4"/>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76" w:right="579" w:bottom="1440" w:gutter="0" w:footer="0" w:header="0"/>
        </w:sectPr>
      </w:pPr>
    </w:p>
    <w:bookmarkStart w:id="38" w:name="page39"/>
    <w:bookmarkEnd w:id="3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Beyond, Inc.:</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6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Beyond, Inc. and subsidiaries (the Company) as of December 31, 2023 and 2022, the related consolidated statements of operations, comprehensive income (loss), changes in stockholders' equity, and cash flows for each of the years in the three-year period ended December 31, 2023, and the related notes and financial statement schedule II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1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23, 2024 expressed an unqualified opinion on the effectiveness of the Company's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6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Valuation of certain equity method securities</w:t>
      </w:r>
    </w:p>
    <w:p>
      <w:pPr>
        <w:spacing w:after="0" w:line="160"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As discussed in Notes 2 and 10 to the consolidated financial statements, the Company values certain equity method securities using a market transaction backsolve approach adjusted for enterprise value changes in guideline public companies. As of December 31, 2023, the Company reported the carrying amount of its equity method securities was $155.9 million, a portion of which related to certain equity method securities valued using this approach.</w:t>
      </w:r>
    </w:p>
    <w:p>
      <w:pPr>
        <w:spacing w:after="0" w:line="112" w:lineRule="exact"/>
        <w:rPr>
          <w:sz w:val="20"/>
          <w:szCs w:val="20"/>
          <w:color w:val="auto"/>
        </w:rPr>
      </w:pPr>
    </w:p>
    <w:p>
      <w:pPr>
        <w:ind w:left="340" w:right="40"/>
        <w:spacing w:after="0" w:line="266" w:lineRule="auto"/>
        <w:rPr>
          <w:sz w:val="20"/>
          <w:szCs w:val="20"/>
          <w:color w:val="auto"/>
        </w:rPr>
      </w:pPr>
      <w:r>
        <w:rPr>
          <w:rFonts w:ascii="Times New Roman" w:cs="Times New Roman" w:eastAsia="Times New Roman" w:hAnsi="Times New Roman"/>
          <w:sz w:val="18"/>
          <w:szCs w:val="18"/>
          <w:color w:val="auto"/>
        </w:rPr>
        <w:t>We identified the valuation of certain equity method securities using a market transaction backsolve approach adjusted for enterprise value changes in guideline public companies as a critical audit matter. A high degree of subjective auditor judgment was required in evaluating the selection of the percentage change in enterprise value for guideline public companies. The valuation was sensitive to reasonably possible changes to this assumption.</w:t>
      </w:r>
    </w:p>
    <w:p>
      <w:pPr>
        <w:spacing w:after="0" w:line="95" w:lineRule="exact"/>
        <w:rPr>
          <w:sz w:val="20"/>
          <w:szCs w:val="20"/>
          <w:color w:val="auto"/>
        </w:rPr>
      </w:pPr>
    </w:p>
    <w:p>
      <w:pPr>
        <w:ind w:left="340" w:right="200"/>
        <w:spacing w:after="0" w:line="26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fair value determination process for equity method securities carried at fair value, including a control related to the development of the percentage change in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76" w:right="419" w:bottom="1440" w:gutter="0" w:footer="0" w:header="0"/>
        </w:sectPr>
      </w:pPr>
    </w:p>
    <w:bookmarkStart w:id="39" w:name="page40"/>
    <w:bookmarkEnd w:id="39"/>
    <w:p>
      <w:pPr>
        <w:ind w:left="340"/>
        <w:spacing w:after="0" w:line="266" w:lineRule="auto"/>
        <w:rPr>
          <w:sz w:val="20"/>
          <w:szCs w:val="20"/>
          <w:color w:val="auto"/>
        </w:rPr>
      </w:pPr>
      <w:r>
        <w:rPr>
          <w:rFonts w:ascii="Times New Roman" w:cs="Times New Roman" w:eastAsia="Times New Roman" w:hAnsi="Times New Roman"/>
          <w:sz w:val="18"/>
          <w:szCs w:val="18"/>
          <w:color w:val="auto"/>
        </w:rPr>
        <w:t>enterprise value for guideline public companies. We involved valuation professionals with specialized skills and knowledge, who assisted in evaluating the selected percentage change in enterprise value for guideline public companies by comparing the selected percentage change to a range of percentages independently developed using publicly available data for comparable entities.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KPMG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2009.</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0" w:right="35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Beyond,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7"/>
                <w:szCs w:val="17"/>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79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5"/>
        </w:trPr>
        <w:tc>
          <w:tcPr>
            <w:tcW w:w="794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371,263</w:t>
            </w:r>
          </w:p>
        </w:tc>
        <w:tc>
          <w:tcPr>
            <w:tcW w:w="0" w:type="dxa"/>
            <w:vAlign w:val="bottom"/>
          </w:tcPr>
          <w:p>
            <w:pPr>
              <w:spacing w:after="0"/>
              <w:rPr>
                <w:sz w:val="1"/>
                <w:szCs w:val="1"/>
                <w:color w:val="auto"/>
              </w:rPr>
            </w:pPr>
          </w:p>
        </w:tc>
      </w:tr>
      <w:tr>
        <w:trPr>
          <w:trHeight w:val="229"/>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$1,298 and $3,223</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17,693</w:t>
            </w:r>
          </w:p>
        </w:tc>
        <w:tc>
          <w:tcPr>
            <w:tcW w:w="0" w:type="dxa"/>
            <w:vAlign w:val="bottom"/>
          </w:tcPr>
          <w:p>
            <w:pPr>
              <w:spacing w:after="0"/>
              <w:rPr>
                <w:sz w:val="1"/>
                <w:szCs w:val="1"/>
                <w:color w:val="auto"/>
              </w:rPr>
            </w:pPr>
          </w:p>
        </w:tc>
      </w:tr>
      <w:tr>
        <w:trPr>
          <w:trHeight w:val="229"/>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6,526</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18,833</w:t>
            </w:r>
          </w:p>
        </w:tc>
        <w:tc>
          <w:tcPr>
            <w:tcW w:w="0" w:type="dxa"/>
            <w:vAlign w:val="bottom"/>
          </w:tcPr>
          <w:p>
            <w:pPr>
              <w:spacing w:after="0"/>
              <w:rPr>
                <w:sz w:val="1"/>
                <w:szCs w:val="1"/>
                <w:color w:val="auto"/>
              </w:rPr>
            </w:pPr>
          </w:p>
        </w:tc>
      </w:tr>
      <w:tr>
        <w:trPr>
          <w:trHeight w:val="223"/>
        </w:trPr>
        <w:tc>
          <w:tcPr>
            <w:tcW w:w="7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414,509</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27,023</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41,439</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 including securities measured at fair value of $41,046 and $82,823</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296,317</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Property and equipment, net held for sale</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82,883</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878,546</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5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106,070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63,614</w:t>
            </w: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revenue</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Current debt, net held for sale</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191,142</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 net held for sale</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34,476</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232,720</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$0.0001 par value, authorized shares - 5,000, issued and outstanding - none</w:t>
            </w: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$0.0001 par value, authorized shares - 100,000</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shares - 51,770 and 51,102</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shares - 45,414 and 44,951</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1,007,649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982,718</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(173,829)</w:t>
            </w: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Treasury stock at cost - 6,356 and 6,151</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(162,546)</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645,826</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878,546</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27" w:right="35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Beyond,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1,561,122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1,929,334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2,756,446</w:t>
            </w:r>
          </w:p>
        </w:tc>
      </w:tr>
      <w:tr>
        <w:trPr>
          <w:trHeight w:val="230"/>
        </w:trPr>
        <w:tc>
          <w:tcPr>
            <w:tcW w:w="6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1,247,116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1,485,990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2,132,544</w:t>
            </w:r>
          </w:p>
        </w:tc>
      </w:tr>
      <w:tr>
        <w:trPr>
          <w:trHeight w:val="223"/>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623,902</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302,430</w:t>
            </w:r>
          </w:p>
        </w:tc>
      </w:tr>
      <w:tr>
        <w:trPr>
          <w:trHeight w:val="229"/>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123,001</w:t>
            </w: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87,399</w:t>
            </w:r>
          </w:p>
        </w:tc>
      </w:tr>
      <w:tr>
        <w:trPr>
          <w:trHeight w:val="223"/>
        </w:trPr>
        <w:tc>
          <w:tcPr>
            <w:tcW w:w="6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432,111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416,336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512,830</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111,072</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r>
      <w:tr>
        <w:trPr>
          <w:trHeight w:val="223"/>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before income taxes from continuing operations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123,016</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(48,775)</w:t>
            </w:r>
          </w:p>
        </w:tc>
      </w:tr>
      <w:tr>
        <w:trPr>
          <w:trHeight w:val="223"/>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171,791</w:t>
            </w:r>
          </w:p>
        </w:tc>
      </w:tr>
      <w:tr>
        <w:trPr>
          <w:trHeight w:val="230"/>
        </w:trPr>
        <w:tc>
          <w:tcPr>
            <w:tcW w:w="6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discontinued operations, net of income taxes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217,246</w:t>
            </w:r>
          </w:p>
        </w:tc>
      </w:tr>
      <w:tr>
        <w:trPr>
          <w:trHeight w:val="223"/>
        </w:trPr>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net income (loss)</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(307,842)</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(35,236)</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389,037</w:t>
            </w: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loss attributable to noncontrolling interests from discontinued operations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stockholders of Beyond, Inc.</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(307,842)</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389,372</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common shares—basic</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Continuing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29"/>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23"/>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common shares—diluted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Continuing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30"/>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3"/>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42,981</w:t>
            </w: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43,332</w:t>
            </w: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Beyond,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income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389,037</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on cash flow hedges, net of tax of $0, $0 and $0</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6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389,053</w:t>
            </w:r>
          </w:p>
        </w:tc>
      </w:tr>
      <w:tr>
        <w:trPr>
          <w:trHeight w:val="176"/>
        </w:trPr>
        <w:tc>
          <w:tcPr>
            <w:tcW w:w="64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Less: Comprehensive loss attributable to noncontrolling interests—discontinued</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operations</w:t>
            </w:r>
          </w:p>
        </w:tc>
        <w:tc>
          <w:tcPr>
            <w:tcW w:w="3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48"/>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stockholders of Beyond, Inc.</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389,388</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Beyond,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4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attributable to stockholders of Beyond, Inc.</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of common stock issued</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51,102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46,331</w:t>
            </w:r>
          </w:p>
        </w:tc>
      </w:tr>
      <w:tr>
        <w:trPr>
          <w:trHeight w:val="230"/>
        </w:trPr>
        <w:tc>
          <w:tcPr>
            <w:tcW w:w="6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 issued upon vesting of restricted stock</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29"/>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issued for ESPP purchases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Conversion of preferred stock</w:t>
            </w:r>
          </w:p>
        </w:tc>
        <w:tc>
          <w:tcPr>
            <w:tcW w:w="9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at end of year</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51,770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46,625</w:t>
            </w:r>
          </w:p>
        </w:tc>
      </w:tr>
      <w:tr>
        <w:trPr>
          <w:trHeight w:val="210"/>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of treasury stock</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r>
      <w:tr>
        <w:trPr>
          <w:trHeight w:val="229"/>
        </w:trPr>
        <w:tc>
          <w:tcPr>
            <w:tcW w:w="6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withholding upon vesting of employee stock awards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6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 of treasury stock</w:t>
            </w:r>
          </w:p>
        </w:tc>
        <w:tc>
          <w:tcPr>
            <w:tcW w:w="9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64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at end of year</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r>
      <w:tr>
        <w:trPr>
          <w:trHeight w:val="223"/>
        </w:trPr>
        <w:tc>
          <w:tcPr>
            <w:tcW w:w="6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shares of common stock outstanding</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45,414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43,023</w:t>
            </w:r>
          </w:p>
        </w:tc>
      </w:tr>
      <w:tr>
        <w:trPr>
          <w:trHeight w:val="210"/>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Conversion and elimination of preferred stock</w:t>
            </w:r>
          </w:p>
        </w:tc>
        <w:tc>
          <w:tcPr>
            <w:tcW w:w="9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Balance at end of year</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of Series A-1 preferred stock issued</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w:t>
            </w:r>
          </w:p>
        </w:tc>
      </w:tr>
      <w:tr>
        <w:trPr>
          <w:trHeight w:val="230"/>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Conversion and elimination of preferred stock</w:t>
            </w:r>
          </w:p>
        </w:tc>
        <w:tc>
          <w:tcPr>
            <w:tcW w:w="9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Balance at end of year</w:t>
            </w:r>
          </w:p>
        </w:tc>
        <w:tc>
          <w:tcPr>
            <w:tcW w:w="9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w:t>
            </w:r>
          </w:p>
        </w:tc>
      </w:tr>
      <w:tr>
        <w:trPr>
          <w:trHeight w:val="210"/>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of treasury stock</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6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Repurchases of shares</w:t>
            </w:r>
          </w:p>
        </w:tc>
        <w:tc>
          <w:tcPr>
            <w:tcW w:w="9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Conversion and elimination of preferred stock</w:t>
            </w:r>
          </w:p>
        </w:tc>
        <w:tc>
          <w:tcPr>
            <w:tcW w:w="9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Balance at end of year</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shares of Series A-1 preferred stock outstanding</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w:t>
            </w:r>
          </w:p>
        </w:tc>
      </w:tr>
      <w:tr>
        <w:trPr>
          <w:trHeight w:val="209"/>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of Series B Preferred stock issued and outstanding</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30"/>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Conversion and elimination of preferred stock</w:t>
            </w:r>
          </w:p>
        </w:tc>
        <w:tc>
          <w:tcPr>
            <w:tcW w:w="9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Balance at end of year</w:t>
            </w:r>
          </w:p>
        </w:tc>
        <w:tc>
          <w:tcPr>
            <w:tcW w:w="9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23"/>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Continued on the following page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81" w:right="35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Beyond,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4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982,718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960,544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970,873</w:t>
            </w:r>
          </w:p>
        </w:tc>
      </w:tr>
      <w:tr>
        <w:trPr>
          <w:trHeight w:val="229"/>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to employees and directors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11,700</w:t>
            </w:r>
          </w:p>
        </w:tc>
      </w:tr>
      <w:tr>
        <w:trPr>
          <w:trHeight w:val="230"/>
        </w:trPr>
        <w:tc>
          <w:tcPr>
            <w:tcW w:w="6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 issued for ESPP purchases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Conversion and elimination of preferred stock</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 of treasury stock</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w:t>
            </w:r>
          </w:p>
        </w:tc>
      </w:tr>
      <w:tr>
        <w:trPr>
          <w:trHeight w:val="230"/>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Subsidiary equity award tender offer</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r>
      <w:tr>
        <w:trPr>
          <w:trHeight w:val="229"/>
        </w:trPr>
        <w:tc>
          <w:tcPr>
            <w:tcW w:w="6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noncontrolling interest ownership</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(22,625)</w:t>
            </w:r>
          </w:p>
        </w:tc>
      </w:tr>
      <w:tr>
        <w:trPr>
          <w:trHeight w:val="230"/>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Balance at end of year</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1,007,649</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982,718</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960,544</w:t>
            </w:r>
          </w:p>
        </w:tc>
      </w:tr>
      <w:tr>
        <w:trPr>
          <w:trHeight w:val="209"/>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(173,829)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(136,590)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(525,233)</w:t>
            </w:r>
          </w:p>
        </w:tc>
      </w:tr>
      <w:tr>
        <w:trPr>
          <w:trHeight w:val="229"/>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stockholders of Beyond, Inc.</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389,372</w:t>
            </w:r>
          </w:p>
        </w:tc>
      </w:tr>
      <w:tr>
        <w:trPr>
          <w:trHeight w:val="230"/>
        </w:trPr>
        <w:tc>
          <w:tcPr>
            <w:tcW w:w="6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 issued upon conversion and elimination of preferred stock</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Conversion and elimination of preferred stock</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Declaration and payment of preferred dividends</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23"/>
        </w:trPr>
        <w:tc>
          <w:tcPr>
            <w:tcW w:w="64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at end of year</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(173,829)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(136,590)</w:t>
            </w:r>
          </w:p>
        </w:tc>
      </w:tr>
      <w:tr>
        <w:trPr>
          <w:trHeight w:val="209"/>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29"/>
        </w:trPr>
        <w:tc>
          <w:tcPr>
            <w:tcW w:w="6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at end of year</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10"/>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(71,399)</w:t>
            </w:r>
          </w:p>
        </w:tc>
      </w:tr>
      <w:tr>
        <w:trPr>
          <w:trHeight w:val="230"/>
        </w:trPr>
        <w:tc>
          <w:tcPr>
            <w:tcW w:w="6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Repurchases of common stock and Series A-1 preferred stock</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withholding upon vesting of employee stock awards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w:t>
            </w:r>
          </w:p>
        </w:tc>
      </w:tr>
      <w:tr>
        <w:trPr>
          <w:trHeight w:val="230"/>
        </w:trPr>
        <w:tc>
          <w:tcPr>
            <w:tcW w:w="6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Conversion and elimination of preferred stock</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 of treasury stock</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23"/>
        </w:trPr>
        <w:tc>
          <w:tcPr>
            <w:tcW w:w="6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Balance at end of year</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(166,345)</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(162,546)</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(79,035)</w:t>
            </w: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attributable to stockholders of Beyond, Inc.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744,386</w:t>
            </w:r>
          </w:p>
        </w:tc>
      </w:tr>
      <w:tr>
        <w:trPr>
          <w:trHeight w:val="250"/>
        </w:trPr>
        <w:tc>
          <w:tcPr>
            <w:tcW w:w="6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attributable to noncontrolling interests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62,634</w:t>
            </w:r>
          </w:p>
        </w:tc>
      </w:tr>
      <w:tr>
        <w:trPr>
          <w:trHeight w:val="229"/>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30"/>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noncontrolling interest ownership</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22,625</w:t>
            </w:r>
          </w:p>
        </w:tc>
      </w:tr>
      <w:tr>
        <w:trPr>
          <w:trHeight w:val="230"/>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Deconsolidation of subsidiaries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(84,924)</w:t>
            </w:r>
          </w:p>
        </w:tc>
      </w:tr>
      <w:tr>
        <w:trPr>
          <w:trHeight w:val="223"/>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 attributable to noncontrolling interests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359,132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645,826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744,386</w:t>
            </w:r>
          </w:p>
        </w:tc>
      </w:tr>
      <w:tr>
        <w:trPr>
          <w:trHeight w:val="20"/>
        </w:trPr>
        <w:tc>
          <w:tcPr>
            <w:tcW w:w="6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81" w:right="35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Beyond,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net income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(307,842)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389,037</w:t>
            </w: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(217,246)</w:t>
            </w:r>
          </w:p>
        </w:tc>
      </w:tr>
      <w:tr>
        <w:trPr>
          <w:trHeight w:val="176"/>
        </w:trPr>
        <w:tc>
          <w:tcPr>
            <w:tcW w:w="64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Adjustments to reconcile consolidated net income (loss) to net cash provided by (used</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9"/>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operating activities: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4"/>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18,564</w:t>
            </w:r>
          </w:p>
        </w:tc>
      </w:tr>
      <w:tr>
        <w:trPr>
          <w:trHeight w:val="229"/>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w:t>
            </w:r>
          </w:p>
        </w:tc>
      </w:tr>
      <w:tr>
        <w:trPr>
          <w:trHeight w:val="230"/>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to employees and directors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11,133</w:t>
            </w:r>
          </w:p>
        </w:tc>
      </w:tr>
      <w:tr>
        <w:trPr>
          <w:trHeight w:val="229"/>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decrease in deferred tax assets,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(53,829)</w:t>
            </w:r>
          </w:p>
        </w:tc>
      </w:tr>
      <w:tr>
        <w:trPr>
          <w:trHeight w:val="22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disposal of cryptocurrencies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Write-down of assets held for sale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from equity method securities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(12,585)</w:t>
            </w:r>
          </w:p>
        </w:tc>
      </w:tr>
      <w:tr>
        <w:trPr>
          <w:trHeight w:val="229"/>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non-cash adjustments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r>
      <w:tr>
        <w:trPr>
          <w:trHeight w:val="230"/>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6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r>
      <w:tr>
        <w:trPr>
          <w:trHeight w:val="230"/>
        </w:trPr>
        <w:tc>
          <w:tcPr>
            <w:tcW w:w="6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29"/>
        </w:trPr>
        <w:tc>
          <w:tcPr>
            <w:tcW w:w="6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w:t>
            </w:r>
          </w:p>
        </w:tc>
      </w:tr>
      <w:tr>
        <w:trPr>
          <w:trHeight w:val="229"/>
        </w:trPr>
        <w:tc>
          <w:tcPr>
            <w:tcW w:w="6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r>
      <w:tr>
        <w:trPr>
          <w:trHeight w:val="230"/>
        </w:trPr>
        <w:tc>
          <w:tcPr>
            <w:tcW w:w="6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(7,787)</w:t>
            </w:r>
          </w:p>
        </w:tc>
      </w:tr>
      <w:tr>
        <w:trPr>
          <w:trHeight w:val="230"/>
        </w:trPr>
        <w:tc>
          <w:tcPr>
            <w:tcW w:w="6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(21,595)</w:t>
            </w:r>
          </w:p>
        </w:tc>
      </w:tr>
      <w:tr>
        <w:trPr>
          <w:trHeight w:val="230"/>
        </w:trPr>
        <w:tc>
          <w:tcPr>
            <w:tcW w:w="6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Unearned revenue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(12,778)</w:t>
            </w:r>
          </w:p>
        </w:tc>
      </w:tr>
      <w:tr>
        <w:trPr>
          <w:trHeight w:val="230"/>
        </w:trPr>
        <w:tc>
          <w:tcPr>
            <w:tcW w:w="6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r>
      <w:tr>
        <w:trPr>
          <w:trHeight w:val="230"/>
        </w:trPr>
        <w:tc>
          <w:tcPr>
            <w:tcW w:w="64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3"/>
        </w:trPr>
        <w:tc>
          <w:tcPr>
            <w:tcW w:w="6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continuing 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98,047</w:t>
            </w:r>
          </w:p>
        </w:tc>
      </w:tr>
      <w:tr>
        <w:trPr>
          <w:trHeight w:val="229"/>
        </w:trPr>
        <w:tc>
          <w:tcPr>
            <w:tcW w:w="6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used in discontinued operating activities</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(17,128)</w:t>
            </w:r>
          </w:p>
        </w:tc>
      </w:tr>
      <w:tr>
        <w:trPr>
          <w:trHeight w:val="223"/>
        </w:trPr>
        <w:tc>
          <w:tcPr>
            <w:tcW w:w="6440" w:type="dxa"/>
            <w:vAlign w:val="bottom"/>
            <w:tcBorders>
              <w:top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80,919</w:t>
            </w:r>
          </w:p>
        </w:tc>
      </w:tr>
      <w:tr>
        <w:trPr>
          <w:trHeight w:val="221"/>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2"/>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Expenditures for property and equipment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(13,617)</w:t>
            </w: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Disbursement for notes receivable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the disposal of cryptocurrencies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distribution from investment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equity securities</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Contributions for capital calls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(41,122)</w:t>
            </w:r>
          </w:p>
        </w:tc>
      </w:tr>
      <w:tr>
        <w:trPr>
          <w:trHeight w:val="230"/>
        </w:trPr>
        <w:tc>
          <w:tcPr>
            <w:tcW w:w="6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w:t>
            </w:r>
          </w:p>
        </w:tc>
      </w:tr>
      <w:tr>
        <w:trPr>
          <w:trHeight w:val="223"/>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continuing investing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(56,433)</w:t>
            </w:r>
          </w:p>
        </w:tc>
      </w:tr>
      <w:tr>
        <w:trPr>
          <w:trHeight w:val="230"/>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discontinued investing activities</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(29,703)</w:t>
            </w:r>
          </w:p>
        </w:tc>
      </w:tr>
      <w:tr>
        <w:trPr>
          <w:trHeight w:val="223"/>
        </w:trPr>
        <w:tc>
          <w:tcPr>
            <w:tcW w:w="644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(86,136)</w:t>
            </w: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Continued on the following page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Beyond,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4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Repurchase of shares</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(80,117)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of taxes withheld upon vesting of employee stock awards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(3,799)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w:t>
            </w:r>
          </w:p>
        </w:tc>
      </w:tr>
      <w:tr>
        <w:trPr>
          <w:trHeight w:val="229"/>
        </w:trPr>
        <w:tc>
          <w:tcPr>
            <w:tcW w:w="7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(3,606)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r>
      <w:tr>
        <w:trPr>
          <w:trHeight w:val="229"/>
        </w:trPr>
        <w:tc>
          <w:tcPr>
            <w:tcW w:w="7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r>
      <w:tr>
        <w:trPr>
          <w:trHeight w:val="223"/>
        </w:trPr>
        <w:tc>
          <w:tcPr>
            <w:tcW w:w="64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continuing financing activities</w:t>
            </w:r>
          </w:p>
        </w:tc>
        <w:tc>
          <w:tcPr>
            <w:tcW w:w="9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(5,492)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(86,340)</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(12,683)</w:t>
            </w:r>
          </w:p>
        </w:tc>
      </w:tr>
      <w:tr>
        <w:trPr>
          <w:trHeight w:val="230"/>
        </w:trPr>
        <w:tc>
          <w:tcPr>
            <w:tcW w:w="7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cash provided by discontinued financing activities</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r>
      <w:tr>
        <w:trPr>
          <w:trHeight w:val="223"/>
        </w:trPr>
        <w:tc>
          <w:tcPr>
            <w:tcW w:w="64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(5,492)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(86,340)</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(10,598)</w:t>
            </w:r>
          </w:p>
        </w:tc>
      </w:tr>
    </w:tbl>
    <w:p>
      <w:pPr>
        <w:spacing w:after="0" w:line="1" w:lineRule="exact"/>
        <w:rPr>
          <w:sz w:val="20"/>
          <w:szCs w:val="20"/>
          <w:color w:val="auto"/>
        </w:rPr>
      </w:pPr>
    </w:p>
    <w:p>
      <w:pPr>
        <w:sectPr>
          <w:pgSz w:w="11900" w:h="16838" w:orient="portrait"/>
          <w:cols w:equalWidth="0" w:num="1">
            <w:col w:w="11240"/>
          </w:cols>
          <w:pgMar w:left="320" w:top="98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p>
      <w:pPr>
        <w:spacing w:after="0" w:line="18" w:lineRule="exact"/>
        <w:rPr>
          <w:sz w:val="20"/>
          <w:szCs w:val="20"/>
          <w:color w:val="auto"/>
        </w:rPr>
      </w:pPr>
    </w:p>
    <w:p>
      <w:pPr>
        <w:ind w:left="20" w:right="180"/>
        <w:spacing w:after="0" w:line="237" w:lineRule="auto"/>
        <w:rPr>
          <w:sz w:val="20"/>
          <w:szCs w:val="20"/>
          <w:color w:val="auto"/>
        </w:rPr>
      </w:pPr>
      <w:r>
        <w:rPr>
          <w:rFonts w:ascii="Times New Roman" w:cs="Times New Roman" w:eastAsia="Times New Roman" w:hAnsi="Times New Roman"/>
          <w:sz w:val="18"/>
          <w:szCs w:val="18"/>
          <w:color w:val="auto"/>
        </w:rPr>
        <w:t>Cash, cash equivalents, and restricted cash, beginning of year, inclusive of cash balances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0" w:right="440"/>
        <w:spacing w:after="0" w:line="237" w:lineRule="auto"/>
        <w:rPr>
          <w:sz w:val="20"/>
          <w:szCs w:val="20"/>
          <w:color w:val="auto"/>
        </w:rPr>
      </w:pPr>
      <w:r>
        <w:rPr>
          <w:rFonts w:ascii="Times New Roman" w:cs="Times New Roman" w:eastAsia="Times New Roman" w:hAnsi="Times New Roman"/>
          <w:sz w:val="18"/>
          <w:szCs w:val="18"/>
          <w:color w:val="auto"/>
        </w:rPr>
        <w:t>Cash, cash equivalents, and restricted cash, end of year, inclusive of cash balances of discontinued operations</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Less: Cash, cash equivalents, and restricted cash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6440" w:val="left"/>
        </w:tabs>
        <w:rPr>
          <w:sz w:val="20"/>
          <w:szCs w:val="20"/>
          <w:color w:val="auto"/>
        </w:rPr>
      </w:pPr>
      <w:r>
        <w:rPr>
          <w:rFonts w:ascii="Times New Roman" w:cs="Times New Roman" w:eastAsia="Times New Roman" w:hAnsi="Times New Roman"/>
          <w:sz w:val="18"/>
          <w:szCs w:val="18"/>
          <w:color w:val="auto"/>
        </w:rPr>
        <w:t>Cash, cash equivalents, and restricted cash, end of year</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(68,708)</w:t>
            </w: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(131,909)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(15,815)</w:t>
            </w:r>
          </w:p>
        </w:tc>
      </w:tr>
      <w:tr>
        <w:trPr>
          <w:trHeight w:val="414"/>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371,457</w:t>
            </w:r>
          </w:p>
        </w:tc>
        <w:tc>
          <w:tcPr>
            <w:tcW w:w="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503,366</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519,181</w:t>
            </w:r>
          </w:p>
        </w:tc>
      </w:tr>
      <w:tr>
        <w:trPr>
          <w:trHeight w:val="394"/>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302,749</w:t>
            </w: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371,457</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503,366</w:t>
            </w:r>
          </w:p>
        </w:tc>
      </w:tr>
      <w:tr>
        <w:trPr>
          <w:trHeight w:val="234"/>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302,749</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371,457</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503,366</w:t>
            </w:r>
          </w:p>
        </w:tc>
      </w:tr>
      <w:tr>
        <w:trPr>
          <w:trHeight w:val="21"/>
        </w:trPr>
        <w:tc>
          <w:tcPr>
            <w:tcW w:w="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-33655</wp:posOffset>
            </wp:positionV>
            <wp:extent cx="9683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-549275</wp:posOffset>
            </wp:positionH>
            <wp:positionV relativeFrom="paragraph">
              <wp:posOffset>-7620</wp:posOffset>
            </wp:positionV>
            <wp:extent cx="9683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-549275</wp:posOffset>
            </wp:positionH>
            <wp:positionV relativeFrom="paragraph">
              <wp:posOffset>-187960</wp:posOffset>
            </wp:positionV>
            <wp:extent cx="9683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-549275</wp:posOffset>
            </wp:positionH>
            <wp:positionV relativeFrom="paragraph">
              <wp:posOffset>-599440</wp:posOffset>
            </wp:positionV>
            <wp:extent cx="9683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80" w:space="720"/>
            <w:col w:w="3940"/>
          </w:cols>
          <w:pgMar w:left="320" w:top="981" w:right="339" w:bottom="1440" w:gutter="0" w:footer="0" w:header="0"/>
          <w:type w:val="continuous"/>
        </w:sectPr>
      </w:pPr>
    </w:p>
    <w:p>
      <w:pPr>
        <w:spacing w:after="0" w:line="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47" w:name="page48"/>
    <w:bookmarkEnd w:id="4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Beyond,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and organization</w:t>
      </w:r>
    </w:p>
    <w:p>
      <w:pPr>
        <w:spacing w:after="0" w:line="254"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As used herein, "Beyond," "the Company," "we," "our" and similar terms include Beyond, Inc. and its controlled subsidiaries, unless the context indicates otherwise. We were formed on May 5, 1997 as D2-Discounts Direct, a limited liability company ("LLC"). On December 30, 1998, we were reorganized as a C Corporation in the State of Utah and reincorporated in Delaware in May 2002. On October 25, 1999, we changed our name to Overstock.com, Inc. and on November 6, 2023, we changed our name to Beyond, Inc.</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Beyond, Inc. is an e-commerce expert with a singular focus: connecting consumers with products and services they love. As the owner of the iconic Bed Bath &amp; Beyond brand and several other brands, we strive to curate an exceptional online shopping experience. Specializing in furniture and home furnishings, Bed Bath &amp; Beyond is a premier online retailer, catering to customers in the United States and Canada. Our e-commerce platform, accessible through our mobile app, www.bedbathandbeyond.com, www.bedbathandbeyond.ca, and www.overstockgovernment.com collectively referred to as the "Website," serves as a gateway for those seeking a diverse array of top-tier, on-trend home products at competitive prices. From furniture, bedding, and bath essentials to patio and outdoor gear, area rugs, tabletop and cookware, décor, storage and organization solutions, small appliances, and home improvement items – we offer an extensive range of furniture and home furnishings to elevate our customers' living spaces within the four corners of their homes and the four corners of their property.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54"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We have prepared the accompanying consolidated financial statements pursuant to generally accepted accounting principles in the United States ("GAAP"). Preparing financial statements requires us to make estimates and assumptions that affect the amounts that are reported in the consolidated financial statements and accompanying disclosures. Although these estimates are based on our best knowledge of current events and actions that we may undertake in the future, our actual results may be different from our estimates. The results of operations presented herein are not necessarily indicative of our results for any future period.</w:t>
      </w:r>
    </w:p>
    <w:p>
      <w:pPr>
        <w:spacing w:after="0" w:line="21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Unless otherwise specified, disclosures in these consolidated financial statements reflect continuing operations only. The operating results for Medici Ventures Inc. ("Medici Ventures") and tZERO Group, Inc. ("tZERO"), our former subsidiaries, for the periods prior to their deconsolidation have been reflected in our consolidated statements of operations as discontinued operations for all periods presented. Certain prior period data, primarily related to discontinued operations, have been reclassified in the consolidated financial statements and accompanying notes to conform to the current period presentation. See Note 5—Discontinued Operations for further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ACCOUNTING POLICIES AND SUPPLEMENTAL DISCLOSURES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our accounts and the accounts of our wholly-owned subsidiaries. All intercompany account balances and transactions have been eliminated in consolidation.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estimates and assumptions that affect the reported amounts of assets and liabilities, revenues and expenses, and related disclosures of contingent liabilities in our consolidated financial statements and accompanying notes. Estimates are used for, but not limited to, receivables valuation, revenue recognition, loyalty program reward point and gift card breakage, sales returns, inventory valuation, asset useful lives, equity and debt securities valuation, income taxes, stock-based compensation, performance-based compensation, self-funded health insurance liabilities, and contingencies. Although these estimates are based on our best knowledge of current events and actions that we may undertake in the future, our accounting of these estimates may change from period to period. To the extent there are differences between these estimates and actual results, our consolidated financial statements may be materially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6"/>
        </w:trPr>
        <w:tc>
          <w:tcPr>
            <w:tcW w:w="6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Supplemental cash flow information</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59"/>
        </w:trPr>
        <w:tc>
          <w:tcPr>
            <w:tcW w:w="6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shows supplemental cash flow information (in thousands):</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6"/>
        </w:trPr>
        <w:tc>
          <w:tcPr>
            <w:tcW w:w="644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2"/>
                <w:szCs w:val="22"/>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during the period:</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paid, net of amounts capitalized</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paid, net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176"/>
        </w:trPr>
        <w:tc>
          <w:tcPr>
            <w:tcW w:w="64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w:t>
            </w: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also Note 14—Leases for additional supplemental disclosures of cash flow information related to our leases.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254"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We classify all highly liquid instruments, including instruments with an original maturity of three months or less at the time of purchase, as cash equivalents.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consider cash that is legally restricted and cash that is held as compensating balances for credit arrangements as restricted cash.</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5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account for our assets and liabilities using a hierarchy of valuation techniques based on whether the inputs to those valuation techniques are observable or unobservable. Observable inputs reflect market data obtained from independent sources, while unobservable inputs reflect our market assumptions. These two types of inputs have created the fair-value hierarchy below. This hierarchy requires us to minimize the use of unobservable inputs and to use observable market data, if available, when determining fair value.</w:t>
      </w:r>
    </w:p>
    <w:p>
      <w:pPr>
        <w:spacing w:after="0" w:line="207" w:lineRule="exact"/>
        <w:rPr>
          <w:sz w:val="20"/>
          <w:szCs w:val="20"/>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—Quoted prices for identical instruments in active markets;</w:t>
      </w:r>
    </w:p>
    <w:p>
      <w:pPr>
        <w:spacing w:after="0" w:line="27" w:lineRule="exact"/>
        <w:rPr>
          <w:rFonts w:ascii="Times New Roman" w:cs="Times New Roman" w:eastAsia="Times New Roman" w:hAnsi="Times New Roman"/>
          <w:sz w:val="18"/>
          <w:szCs w:val="18"/>
          <w:color w:val="auto"/>
        </w:rPr>
      </w:pPr>
    </w:p>
    <w:p>
      <w:pPr>
        <w:ind w:left="1300" w:right="20" w:hanging="320"/>
        <w:spacing w:after="0" w:line="265" w:lineRule="auto"/>
        <w:tabs>
          <w:tab w:leader="none" w:pos="129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Level 2</w:t>
      </w:r>
      <w:r>
        <w:rPr>
          <w:rFonts w:ascii="Times New Roman" w:cs="Times New Roman" w:eastAsia="Times New Roman" w:hAnsi="Times New Roman"/>
          <w:sz w:val="17"/>
          <w:szCs w:val="17"/>
          <w:color w:val="auto"/>
        </w:rPr>
        <w:t>—Quoted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ind w:left="1300" w:right="840" w:hanging="320"/>
        <w:spacing w:after="0" w:line="260"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—Valuations derived from valuation techniques in which one or more significant inputs or significant value drivers are unobservable.</w:t>
      </w:r>
    </w:p>
    <w:p>
      <w:pPr>
        <w:spacing w:after="0" w:line="20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assets and liabilities that are adjusted to fair value on a recurring basis are cash equivalents, our equity securities under ASC 321, and deferred compensation liabilities, which fair values are determined using quoted market prices from daily exchange traded markets on the closing price as of the balance sheet date and are classified as Level 1. Our recurring fair value measurements using unobservable inputs (Level 3) include our equity securities under ASC 323 accounted for under the fair value option and available-for-sale debt securities. Our other financial instruments, including cash, restricted cash, accounts receivable, accounts payable, accrued liabilities, and debt are carried at cost, which approximates their fair value. Certain assets, including long-lived assets, certain equity securities under ASC 323, goodwill, and other intangible assets, are measured at fair value on a nonrecurring basis; that is, the assets are not measured at fair value on an ongoing basis, but are subject to fair value adjustments using fair value measurements with unobservable inputs (Level 3), apart from assets held for sale which uses an active market purchase offer (Level 1), and cryptocurrencies which use quoted prices from various digital currency exchanges with active markets in certain circumstances (e.g., when there is evidence of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27"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Accounts receivable consist primarily of trade amounts due from customers in the United States and uncleared credit card transactions at period end. Accounts receivables are recorded at invoiced amounts and do not bear interest. We maintain an allowance for expected credit losses based upon our business customers' financial condition and payment history, our historical collection experience, and any future expected economic conditions.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Inventories include merchandise acquired for resale and processed returns which are accounted for using a standard costing system which approximates the first-in-first-out ("FIFO") method of accounting and are valued at the lower of cost and net realizable value. Inventory valuation requires us to make judgments, based on currently available information, about the likely method of disposition, such as through sales to individual customers, returns to product vendors, liquidations, and expected recoverable values of each disposition category.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Prepaids and other current assets</w:t>
      </w:r>
    </w:p>
    <w:p>
      <w:pPr>
        <w:spacing w:after="0" w:line="254"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Prepaids and other current assets represent expenses paid prior to receipt of the related goods or services, including advertising, license fees, maintenance, packaging, insurance, prepaid inventories, other miscellaneous costs, and cryptocurrencies.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p>
      <w:pPr>
        <w:spacing w:after="0" w:line="227" w:lineRule="exact"/>
        <w:rPr>
          <w:sz w:val="20"/>
          <w:szCs w:val="20"/>
          <w:color w:val="auto"/>
        </w:rPr>
      </w:pPr>
    </w:p>
    <w:p>
      <w:pPr>
        <w:ind w:right="320" w:firstLine="648"/>
        <w:spacing w:after="0" w:line="271" w:lineRule="auto"/>
        <w:rPr>
          <w:sz w:val="20"/>
          <w:szCs w:val="20"/>
          <w:color w:val="auto"/>
        </w:rPr>
      </w:pPr>
      <w:r>
        <w:rPr>
          <w:rFonts w:ascii="Times New Roman" w:cs="Times New Roman" w:eastAsia="Times New Roman" w:hAnsi="Times New Roman"/>
          <w:sz w:val="18"/>
          <w:szCs w:val="18"/>
          <w:color w:val="auto"/>
        </w:rPr>
        <w:t>Property and equipment are recorded at cost and stated net of depreciation and amortization. Property and equipment are depreciated using the straight-line method over the estimated useful lives of the related assets as follows:</w:t>
      </w:r>
    </w:p>
    <w:tbl>
      <w:tblPr>
        <w:tblLayout w:type="fixed"/>
        <w:tblInd w:w="0" w:type="dxa"/>
        <w:tblCellMar>
          <w:top w:w="0" w:type="dxa"/>
          <w:left w:w="0" w:type="dxa"/>
          <w:bottom w:w="0" w:type="dxa"/>
          <w:right w:w="0" w:type="dxa"/>
        </w:tblCellMar>
      </w:tblPr>
      <w:tr>
        <w:trPr>
          <w:trHeight w:val="185"/>
        </w:trPr>
        <w:tc>
          <w:tcPr>
            <w:tcW w:w="9020" w:type="dxa"/>
            <w:vAlign w:val="bottom"/>
          </w:tcPr>
          <w:p>
            <w:pPr>
              <w:spacing w:after="0"/>
              <w:rPr>
                <w:sz w:val="16"/>
                <w:szCs w:val="16"/>
                <w:color w:val="auto"/>
              </w:rPr>
            </w:pPr>
          </w:p>
        </w:tc>
        <w:tc>
          <w:tcPr>
            <w:tcW w:w="222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6"/>
              </w:rPr>
              <w:t>Life</w:t>
            </w:r>
          </w:p>
        </w:tc>
      </w:tr>
      <w:tr>
        <w:trPr>
          <w:trHeight w:val="241"/>
        </w:trPr>
        <w:tc>
          <w:tcPr>
            <w:tcW w:w="902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25"/>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r>
        <w:trPr>
          <w:trHeight w:val="22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3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machinery and equipment</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15-20</w:t>
            </w:r>
          </w:p>
        </w:tc>
      </w:tr>
      <w:tr>
        <w:trPr>
          <w:trHeight w:val="23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r>
      <w:tr>
        <w:trPr>
          <w:trHeight w:val="22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34"/>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 including internal-use software and website development</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bl>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Leasehold improvements are amortized over the shorter of the term of the related leases or estimated useful lives.</w:t>
      </w:r>
    </w:p>
    <w:p>
      <w:pPr>
        <w:spacing w:after="0" w:line="25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Included in property and equipment is the capitalized cost of internal-use software and website development, including software used to upgrade and enhance our Website and processes supporting our business. We capitalize costs incurred during the application development stage of internal-use software and amortize these costs over the estimated useful life. Costs incurred related to design or maintenance of internal-use software are expensed as incurred.</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Upon sale or retirement of assets, cost and related accumulated depreciation and amortization are removed from the balance sheet and the resulting gain or loss is reflected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color w:val="auto"/>
        </w:rPr>
        <w:t>Initial valuation of retained noncontrolling interest in former subsidiaries</w:t>
      </w:r>
    </w:p>
    <w:p>
      <w:pPr>
        <w:spacing w:after="0" w:line="25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During the second quarter of 2021, we measured our retained noncontrolling interest in former subsidiaries at fair value at the date of deconsolidation. In the absence of quoted market prices (since the equity of these entities is not traded on a public market), the fair value was determined in good faith under our valuation policy and process using generally accepted valuation approaches. We utilized an independent third party valuation firm to assist us in determining the fair values of our retained noncontrolling interest in former subsidiaries using a combination of a market approach and income approach. The market approach relied upon a comparison with guideline public companies or guideline transactions and entails selecting relevant financial information of the subject company, and capitalizing those amounts using valuation multiples that are based on empirical market observations. The income approach relied upon an analysis of its projected economic earnings discounted to present value (discounted cash flows). The fair value determination of our retained noncontrolling interest required the use of significant unobservable inputs (Level 3 inputs) as shown in the table within Note 5—Discontinued Operations. Due to the inherent uncertainty of determining the fair value of Level 3 securities that do not have a readily available market value, the determination of fair value required significant judgment or estimation and changes in the estimates and assumptions used in the valuation models could materially affect the determination of fair value for these assets. See Note 5—Discontinued Operations for further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assets held for sale</w:t>
      </w:r>
    </w:p>
    <w:p>
      <w:pPr>
        <w:spacing w:after="0" w:line="254" w:lineRule="exact"/>
        <w:rPr>
          <w:sz w:val="20"/>
          <w:szCs w:val="20"/>
          <w:color w:val="auto"/>
        </w:rPr>
      </w:pPr>
    </w:p>
    <w:p>
      <w:pPr>
        <w:ind w:right="140" w:firstLine="648"/>
        <w:spacing w:after="0" w:line="276" w:lineRule="auto"/>
        <w:rPr>
          <w:sz w:val="20"/>
          <w:szCs w:val="20"/>
          <w:color w:val="auto"/>
        </w:rPr>
      </w:pPr>
      <w:r>
        <w:rPr>
          <w:rFonts w:ascii="Times New Roman" w:cs="Times New Roman" w:eastAsia="Times New Roman" w:hAnsi="Times New Roman"/>
          <w:sz w:val="17"/>
          <w:szCs w:val="17"/>
          <w:color w:val="auto"/>
        </w:rPr>
        <w:t>We classify assets and liabilities to be sold (disposal group) as held for sale in the period when all of the applicable criteria are met, including: (i) management commits to a plan to sell, (ii) the disposal group is available to sell in its present condition, (iii) there is an active program to locate a buyer,</w:t>
      </w:r>
    </w:p>
    <w:p>
      <w:pPr>
        <w:spacing w:after="0" w:line="1" w:lineRule="exact"/>
        <w:rPr>
          <w:sz w:val="20"/>
          <w:szCs w:val="20"/>
          <w:color w:val="auto"/>
        </w:rPr>
      </w:pPr>
    </w:p>
    <w:p>
      <w:pPr>
        <w:ind w:right="60" w:firstLine="8"/>
        <w:spacing w:after="0" w:line="251" w:lineRule="auto"/>
        <w:tabs>
          <w:tab w:leader="none" w:pos="3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disposal group is being actively marketed at a reasonable price in relation to its fair value, (v) significant changes to the plan to sell are unlikely, and (vi) the sale of the disposal group is generally probable of being completed within one year. Assets and liabilities held for sale are presented separately within the Consolidated balance sheets with any adjustments necessary to measure the disposal group at the lower of its carrying value or fair value less costs to sell. Depreciation of property and equipment is not recorded while these assets are classified as held for sale. The fair value of a disposal group, less any costs to sell, is assessed each reporting period it remains classified as held for sale and any remeasurement to the lower of carrying value or fair value less costs to sell is reported as an adjustment to the carrying value of the disposal group recorded in Other income (expense), net in our consolidated statements of operations. We measured our assets held for sale at fair value based on Level 1 inputs. See Note 4—Assets Held for Sale for further information.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securities under ASC 321</w:t>
      </w:r>
    </w:p>
    <w:p>
      <w:pPr>
        <w:spacing w:after="0" w:line="25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Minority interests (less than 20%) in certain public entities, accounted for under ASC Topic 321, </w:t>
      </w:r>
      <w:r>
        <w:rPr>
          <w:rFonts w:ascii="Times New Roman" w:cs="Times New Roman" w:eastAsia="Times New Roman" w:hAnsi="Times New Roman"/>
          <w:sz w:val="18"/>
          <w:szCs w:val="18"/>
          <w:i w:val="1"/>
          <w:iCs w:val="1"/>
          <w:color w:val="auto"/>
        </w:rPr>
        <w:t>Investments—Equity Securities</w:t>
      </w:r>
      <w:r>
        <w:rPr>
          <w:rFonts w:ascii="Times New Roman" w:cs="Times New Roman" w:eastAsia="Times New Roman" w:hAnsi="Times New Roman"/>
          <w:sz w:val="18"/>
          <w:szCs w:val="18"/>
          <w:color w:val="auto"/>
        </w:rPr>
        <w:t xml:space="preserve"> ("ASC 321"), are included in Equity securities at fair value in our consolidated balance sheets. We measured our ASC 321 equity securities at fair value (based on Level 1 inputs) with changes in fair value recorded in Other income (expense), net in our consolidated statements of operations. Dividends received are reported in earnings if and when received. As of December 31, 2023, we no longer held any minority interests in those certain public entities.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securities accounted for under the equity method under ASC 323</w:t>
      </w:r>
    </w:p>
    <w:p>
      <w:pPr>
        <w:spacing w:after="0" w:line="25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At December 31, 2023, we held minority interests in privately held entities, Medici Ventures, L.P., tZERO, and SpeedRoute, LLC ("SpeedRoute"), accounted for under the equity method under ASC Topic 323, </w:t>
      </w:r>
      <w:r>
        <w:rPr>
          <w:rFonts w:ascii="Times New Roman" w:cs="Times New Roman" w:eastAsia="Times New Roman" w:hAnsi="Times New Roman"/>
          <w:sz w:val="18"/>
          <w:szCs w:val="18"/>
          <w:i w:val="1"/>
          <w:iCs w:val="1"/>
          <w:color w:val="auto"/>
        </w:rPr>
        <w:t>Investments—Equity Method and Joint Ventures</w:t>
      </w:r>
      <w:r>
        <w:rPr>
          <w:rFonts w:ascii="Times New Roman" w:cs="Times New Roman" w:eastAsia="Times New Roman" w:hAnsi="Times New Roman"/>
          <w:sz w:val="18"/>
          <w:szCs w:val="18"/>
          <w:color w:val="auto"/>
        </w:rPr>
        <w:t xml:space="preserve"> ("ASC 323"), which are included in Equity securities in our consolidated balance sheets. We can exercise significant influence, but not control, over these entities through holding more than a 20% voting interest.</w:t>
      </w: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Based on the nature of our ownership interests and the extent of our contributed capital, we held a variable interest in Medici Ventures, L.P. and SpeedRoute, both of which meet the definition of variable interest entities; however, we are not the primary beneficiary of these entities for purposes of consolidation as we do not have the power (either explicit or implicit), through voting rights or otherwise, to direct the activities of Medici Ventures, L.P. or SpeedRoute that most significantly impact their economic performance. Our investments in these variable interest entities totaled $118.7 million as of December 31, 2023, representing our maximum exposures to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9" w:right="359" w:bottom="1440" w:gutter="0" w:footer="0" w:header="0"/>
        </w:sectPr>
      </w:pPr>
    </w:p>
    <w:bookmarkStart w:id="51" w:name="page52"/>
    <w:bookmarkEnd w:id="51"/>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record our proportionate share of Medici Ventures, L.P.'s net assets assuming the entity (i) liquidated its net assets at their book values and (ii) distributed the proceeds to the investors based on the distribution waterfall in the investment agreement, which reflects the fair value changes of the underlying investments of the entity, any investor-level adjustments, and any other operating income or losses of the entity, in Other income (expense), net in our consolidated statements of operations with corresponding adjustments to the carrying value of the asset. If such events or circumstances have occurred that may indicate the fair value of our equity interest is less than its carrying value, we estimate the fair value of our equity interest and recognize an impairment loss equal to the difference between the fair value of the security and its carrying value which is recorded in Other income (expense), net in our consolidated statements of operations. There is no difference between the carrying amount of our investment in the entity and the amount of underlying equity we have in the entity's net assets.</w:t>
      </w:r>
    </w:p>
    <w:p>
      <w:pPr>
        <w:spacing w:after="0" w:line="21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have elected to apply the fair value option for valuing our direct minority interests in tZERO and SpeedRoute as we determined that accounting for our direct minority interests in tZERO and SpeedRoute under the fair value option would approximate the same valuation approach used by Medici Ventures, L.P. for valuing our indirect interest in tZERO and SpeedRoute and would be the most meaningful and transparent option for evaluating our continued exposure to the economics of tZERO and SpeedRoute. The fair value was determined in good faith under our valuation policy and process using generally accepted valuation approaches through the use of a third-party valuation firm. Our assessment includes a review of recent operating results and trends, recent sales/acquisitions of the equity securities, and other publicly available data.</w:t>
      </w:r>
    </w:p>
    <w:p>
      <w:pPr>
        <w:spacing w:after="0" w:line="21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methods and significant assumptions to estimate the fair value of our direct minority interests in tZERO under the fair value option include using a market approach. The market approach relied upon market transaction valuations of the subject company, adjusted for changes in enterprise value for guideline public companies. Due to the recent Series B financing round led by the Intercontinental Exchange, the valuation technique used to value our direct interest in tZERO was a market approach using a transaction backsolve with an option pricing model. The methods and significant assumptions to estimate the fair value of our direct minority interests in SpeedRoute under the fair value option include using a market approach based on recent market transaction valuations.</w:t>
      </w:r>
    </w:p>
    <w:p>
      <w:pPr>
        <w:spacing w:after="0" w:line="214" w:lineRule="exact"/>
        <w:rPr>
          <w:sz w:val="20"/>
          <w:szCs w:val="20"/>
          <w:color w:val="auto"/>
        </w:rPr>
      </w:pPr>
    </w:p>
    <w:p>
      <w:pPr>
        <w:ind w:right="240" w:firstLine="648"/>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valuation techniques and significant unobservable inputs used in the fair value measurement of our Level 3 equity securities: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80" w:type="dxa"/>
            <w:vAlign w:val="bottom"/>
          </w:tcPr>
          <w:p>
            <w:pPr>
              <w:spacing w:after="0"/>
              <w:rPr>
                <w:sz w:val="20"/>
                <w:szCs w:val="20"/>
                <w:color w:val="auto"/>
              </w:rPr>
            </w:pP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20"/>
                <w:szCs w:val="20"/>
                <w:color w:val="auto"/>
              </w:rPr>
            </w:pPr>
          </w:p>
        </w:tc>
        <w:tc>
          <w:tcPr>
            <w:tcW w:w="3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Valuation Technique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 Inputs</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169"/>
        </w:trPr>
        <w:tc>
          <w:tcPr>
            <w:tcW w:w="1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86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Market approach - transaction backsolve with an</w:t>
            </w: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spacing w:after="0"/>
              <w:rPr>
                <w:sz w:val="14"/>
                <w:szCs w:val="14"/>
                <w:color w:val="auto"/>
              </w:rPr>
            </w:pPr>
          </w:p>
        </w:tc>
      </w:tr>
      <w:tr>
        <w:trPr>
          <w:trHeight w:val="243"/>
        </w:trPr>
        <w:tc>
          <w:tcPr>
            <w:tcW w:w="1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tZERO</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37,126</w:t>
            </w:r>
          </w:p>
        </w:tc>
        <w:tc>
          <w:tcPr>
            <w:tcW w:w="80" w:type="dxa"/>
            <w:vAlign w:val="bottom"/>
            <w:shd w:val="clear" w:color="auto" w:fill="CCEEFF"/>
          </w:tcPr>
          <w:p>
            <w:pPr>
              <w:spacing w:after="0"/>
              <w:rPr>
                <w:sz w:val="21"/>
                <w:szCs w:val="21"/>
                <w:color w:val="auto"/>
              </w:rPr>
            </w:pPr>
          </w:p>
        </w:tc>
        <w:tc>
          <w:tcPr>
            <w:tcW w:w="3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option pricing model</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Term to liquidity</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 years</w:t>
            </w:r>
          </w:p>
        </w:tc>
      </w:tr>
      <w:tr>
        <w:trPr>
          <w:trHeight w:val="229"/>
        </w:trPr>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Volatility</w:t>
            </w:r>
          </w:p>
        </w:tc>
        <w:tc>
          <w:tcPr>
            <w:tcW w:w="1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125%</w:t>
            </w:r>
          </w:p>
        </w:tc>
      </w:tr>
      <w:tr>
        <w:trPr>
          <w:trHeight w:val="176"/>
        </w:trPr>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Percentage change in</w:t>
            </w:r>
          </w:p>
        </w:tc>
        <w:tc>
          <w:tcPr>
            <w:tcW w:w="1760" w:type="dxa"/>
            <w:vAlign w:val="bottom"/>
            <w:shd w:val="clear" w:color="auto" w:fill="CCEEFF"/>
          </w:tcPr>
          <w:p>
            <w:pPr>
              <w:jc w:val="right"/>
              <w:ind w:right="590"/>
              <w:spacing w:after="0" w:line="176" w:lineRule="exact"/>
              <w:rPr>
                <w:sz w:val="20"/>
                <w:szCs w:val="20"/>
                <w:color w:val="auto"/>
              </w:rPr>
            </w:pPr>
            <w:r>
              <w:rPr>
                <w:rFonts w:ascii="Times New Roman" w:cs="Times New Roman" w:eastAsia="Times New Roman" w:hAnsi="Times New Roman"/>
                <w:sz w:val="18"/>
                <w:szCs w:val="18"/>
                <w:color w:val="auto"/>
              </w:rPr>
              <w:t>7.8%</w:t>
            </w:r>
          </w:p>
        </w:tc>
      </w:tr>
      <w:tr>
        <w:trPr>
          <w:trHeight w:val="184"/>
        </w:trPr>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enterprise value for</w:t>
            </w:r>
          </w:p>
        </w:tc>
        <w:tc>
          <w:tcPr>
            <w:tcW w:w="1760" w:type="dxa"/>
            <w:vAlign w:val="bottom"/>
            <w:shd w:val="clear" w:color="auto" w:fill="CCEEFF"/>
          </w:tcPr>
          <w:p>
            <w:pPr>
              <w:spacing w:after="0"/>
              <w:rPr>
                <w:sz w:val="16"/>
                <w:szCs w:val="16"/>
                <w:color w:val="auto"/>
              </w:rPr>
            </w:pPr>
          </w:p>
        </w:tc>
      </w:tr>
      <w:tr>
        <w:trPr>
          <w:trHeight w:val="180"/>
        </w:trPr>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9"/>
              </w:rPr>
              <w:t>guideline public</w:t>
            </w:r>
          </w:p>
        </w:tc>
        <w:tc>
          <w:tcPr>
            <w:tcW w:w="1760" w:type="dxa"/>
            <w:vAlign w:val="bottom"/>
            <w:shd w:val="clear" w:color="auto" w:fill="CCEEFF"/>
          </w:tcPr>
          <w:p>
            <w:pPr>
              <w:spacing w:after="0"/>
              <w:rPr>
                <w:sz w:val="15"/>
                <w:szCs w:val="15"/>
                <w:color w:val="auto"/>
              </w:rPr>
            </w:pPr>
          </w:p>
        </w:tc>
      </w:tr>
      <w:tr>
        <w:trPr>
          <w:trHeight w:val="230"/>
        </w:trPr>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companies</w:t>
            </w:r>
          </w:p>
        </w:tc>
        <w:tc>
          <w:tcPr>
            <w:tcW w:w="1760" w:type="dxa"/>
            <w:vAlign w:val="bottom"/>
            <w:shd w:val="clear" w:color="auto" w:fill="CCEEFF"/>
          </w:tcPr>
          <w:p>
            <w:pPr>
              <w:spacing w:after="0"/>
              <w:rPr>
                <w:sz w:val="19"/>
                <w:szCs w:val="19"/>
                <w:color w:val="auto"/>
              </w:rPr>
            </w:pPr>
          </w:p>
        </w:tc>
      </w:tr>
      <w:tr>
        <w:trPr>
          <w:trHeight w:val="230"/>
        </w:trPr>
        <w:tc>
          <w:tcPr>
            <w:tcW w:w="18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SpeedRoute</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80" w:type="dxa"/>
            <w:vAlign w:val="bottom"/>
            <w:tcBorders>
              <w:bottom w:val="single" w:sz="8" w:color="CCEEFF"/>
            </w:tcBorders>
          </w:tcPr>
          <w:p>
            <w:pPr>
              <w:spacing w:after="0"/>
              <w:rPr>
                <w:sz w:val="19"/>
                <w:szCs w:val="19"/>
                <w:color w:val="auto"/>
              </w:rPr>
            </w:pPr>
          </w:p>
        </w:tc>
        <w:tc>
          <w:tcPr>
            <w:tcW w:w="39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Market approach - recent transactions</w:t>
            </w:r>
          </w:p>
        </w:tc>
        <w:tc>
          <w:tcPr>
            <w:tcW w:w="18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1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48"/>
        </w:trPr>
        <w:tc>
          <w:tcPr>
            <w:tcW w:w="18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41,046</w:t>
            </w:r>
          </w:p>
        </w:tc>
        <w:tc>
          <w:tcPr>
            <w:tcW w:w="8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 significant change in the term to liquidity, volatility, or percentage change in enterprise value for guideline public companies inputs could result in a significant change in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5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determine if an arrangement is a lease at inception. We account for lease agreements as either operating or finance leases depending on certain defined criteria. Operating leases are recognized in Operating lease right-of-use ("ROU") assets, Operating lease liabilities, current, and Operating lease liabilities, non-current on our consolidated balance sheets. Finance leases are included in Other long-term assets, net, Other current liabilities, and Other long-term liabilities on our consolidated balance sheets. Lease assets and liabilities are recognized based on the present value of the future minimum lease payments over the lease term at the commencement date. As most of our leases do not provide an implicit rate, we use our incremental borrowing rate based on the information available at the commencement date in determining the present value of future payments. In certain of our lease agreements, we receive rent holidays and other incentives. We recognize lease costs on a straight-line basis over the lease term without regard to deferred payment terms, such as rent holidays, that defer the commencement date of required payments. Our lease terms may include options to extend or terminate the lease, and we adjust our measurement of the lease when it is reasonably certain that we will exercise that option. Lease payments used in measurement of the lease liability typically do not include executory costs, such as taxes, insurance, and maintenance, unless those costs can be reasonably estimated at lease commencement. Leasehold improvements are capitalized at cost and amortized over the lesser of their expected useful life or the life of the lease, without assuming renewal features, if any, are exercised. We do not separate lease and non-lease components for our leases.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account for treasury stock of our common shares under the cost method and include treasury stock as a component of stockholders' equity.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the purchase price paid over the fair value of the net assets acquired in business combinations. Goodwill is not amortized but is tested for impairment at least annually or when we deem that a triggering event has occurred. When evaluating whether goodwill is impaired, we make a qualitative assessment to determine if it is more likely than not that the fair value of a reporting unit is less than its carrying amount. If the qualitative assessment determines that it is more likely than not that its fair value is less than its carrying amount, we compare the fair value of the reporting unit to which the goodwill is assigned to its carrying amount. If the carrying amount exceeds its fair value, an impairment loss is recognized in an amount equal to the excess of the carrying amount over the fair value of the reporting unit, not to exceed the carrying amount of the goodwill. There were no impairments to goodwill recorded during the years ended December 31, 2023, 2022 and 2021 and no other changes to the carrying amount of goodwill during the years ended December 31, 2023 and 2022. Our goodwill balance of $6.2 million as of December 31, 2023 and 2022 is net of accumulated impairment losses and other adjustments of $3.3 million.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other than goodwill</w:t>
      </w:r>
    </w:p>
    <w:p>
      <w:pPr>
        <w:spacing w:after="0" w:line="25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capitalize and amortize intangible assets other than goodwill over their estimated useful lives unless such lives are indefinite. Intangible assets other than goodwill acquired separately from third parties are capitalized at cost, including any related direct acquisition costs, while such assets acquired as part of a business combination are capitalized at their acquisition-date fair value. Indefinite-lived intangible assets are tested for impairment annually or more frequently when events or circumstances indicate that the carrying value more likely than not exceeds its fair value. In addition, we routinely evaluate the remaining useful life of intangible assets not being amortized to determine whether events or circumstances continue to support an indefinite useful life, including any legal, regulatory, contractual, competitive, economic, or other factors that may limit their useful lives. Definite-lived intangible assets are amortized using the straight-line method of amortization over their useful lives, with the exception of certain intangibles (such as acquired customer lists) which are amortized using an accelerated method of amortization based on estimated customer attrition rates. These definite-lived intangible assets are reviewed for impairment whenever events or changes in circumstances indicate that their carrying amount may not be recoverable as described below under </w:t>
      </w:r>
      <w:r>
        <w:rPr>
          <w:rFonts w:ascii="Times New Roman" w:cs="Times New Roman" w:eastAsia="Times New Roman" w:hAnsi="Times New Roman"/>
          <w:sz w:val="18"/>
          <w:szCs w:val="18"/>
          <w:i w:val="1"/>
          <w:iCs w:val="1"/>
          <w:color w:val="auto"/>
        </w:rPr>
        <w:t>Impairment of long-lived assets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9"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review property and equipment, right-of-use assets, and other long-lived assets, including intangible assets other than goodwill, for impairment whenever events or changes in circumstances indicate that the carrying amount of an asset group may not be recoverable. Recoverability is measured by a comparison of the assets' carrying amount to future undiscounted net cash flows the asset group is expected to generate. Cash flow forecasts are based on trends of historical performance and management's estimate of future performance, giving consideration to existing and anticipated competitive and economic conditions. If such asset group is considered to be impaired, the impairment to be recognized is measured by the amount by which the carrying amount of the assets exceeds their fair values. There were no impairments to long-lived assets recorded during the years ended December 31, 2023, 2022 and 2021.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Available-for-sale debt securities</w:t>
      </w:r>
    </w:p>
    <w:p>
      <w:pPr>
        <w:spacing w:after="0" w:line="25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we invested $10.0 million in GrainChain, Inc. in the form of a convertible promissory note (the "Note"). The Note bears interest at an annual interest rate of 5% and accrued interest is recorded in Interest income (expense), net in our consolidated statements of operations. The Note has a maturity date of January 3, 2025 at which time the outstanding principal and any unpaid accrued interest will automatically convert into shares of a newly created series of preferred stock issued by GrainChain, Inc. unless converted earlier under limited circumstances. The fair value of the Note, including accrued interest, was $10.5 million at December 31, 2023, which is included in Other long-term assets, net on our consolidated balance sheets.</w:t>
      </w:r>
    </w:p>
    <w:p>
      <w:pPr>
        <w:spacing w:after="0" w:line="21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Based on the nature of our indirect ownership interests in GrainChain, Inc. through Medici Ventures, L.P. and the extent of our contributed capital, we held a variable interest in GrainChain, Inc., which meets the definition of a variable interest entity; however, we are not the primary beneficiary of this entity for purposes of consolidation as we do not have the power (either explicit or implicit), through voting rights or otherwise, to direct the activities of GrainChain, Inc. that most significantly impact its economic performance. Our maximum exposure to loss in this variable interest entity totaled $29.5 million as of December 31, 2023, representing our direct and indirect interest in GrainChain,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assets, net</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long-term assets, net consist primarily of long-term prepaid expenses, deposits, and available-for-sale debt securities.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Revenue is recognized when, or as, control of a promised product or service transfers to a customer, in an amount that reflects the consideration to which the Company expects to be entitled in exchange for transferring those products or services. Revenue excludes taxes that have been assessed by governmental authorities and that are directly imposed on revenue-producing transactions between the Company and its customers, including sales and use taxes. Revenue recognition is evaluated through the following five-step process:</w:t>
      </w:r>
    </w:p>
    <w:p>
      <w:pPr>
        <w:spacing w:after="0" w:line="180" w:lineRule="exact"/>
        <w:rPr>
          <w:sz w:val="20"/>
          <w:szCs w:val="20"/>
          <w:color w:val="auto"/>
        </w:rPr>
      </w:pPr>
    </w:p>
    <w:p>
      <w:pPr>
        <w:ind w:left="860" w:hanging="204"/>
        <w:spacing w:after="0"/>
        <w:tabs>
          <w:tab w:leader="none" w:pos="8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with a customer;</w:t>
      </w:r>
    </w:p>
    <w:p>
      <w:pPr>
        <w:spacing w:after="0" w:line="27"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9"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9"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9"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a performance obligation is satisfied.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derive our revenue primarily through our Website but may also derive revenue from sales of merchandise through other channels. Our revenue is derived primarily from merchandise sold at a point in time and shipped to customers. Merchandise sales are fulfilled with inventory sourced through our partners or from our owned inventory. The vast majority of our sales, however, are fulfilled from inventory sourced through our partners.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18"/>
          <w:szCs w:val="18"/>
          <w:color w:val="auto"/>
        </w:rPr>
        <w:t>Revenue is recognized when control of the product passes to the customer, typically at the date of delivery of the merchandise to the customer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a service is provided and is recognized in an amount that reflects the expected consideration to be received in exchange for such goods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services. As such, customer orders are recorded as unearned revenue prior to delivery of products or services ordered. As we ship high volumes of packages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multiple carriers, we use estimates to determine which shipments are delivered and, therefore, recognized as revenue at the end of the period.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date estimates are based on average shipping transit times, which are calculated using the following factors: (i) the type of shipping carrier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carriers have different in-transit times); (ii) the fulfillment source (either our warehouses, those warehouses we control, or those of our partners); (iii)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destination; and (iv) actual transit time experience, which shows that delivery date is typically one to seven business days from the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shipment. We review and update our estimates on a quarterly basis based on our actual transit time experience. However, actual shipping times may differ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our estimates.</w:t>
      </w:r>
    </w:p>
    <w:p>
      <w:pPr>
        <w:spacing w:after="0" w:line="234" w:lineRule="exact"/>
        <w:rPr>
          <w:sz w:val="20"/>
          <w:szCs w:val="20"/>
          <w:color w:val="auto"/>
        </w:rPr>
      </w:pPr>
    </w:p>
    <w:p>
      <w:pPr>
        <w:jc w:val="both"/>
        <w:ind w:right="140" w:firstLine="648"/>
        <w:spacing w:after="0" w:line="289" w:lineRule="auto"/>
        <w:rPr>
          <w:sz w:val="20"/>
          <w:szCs w:val="20"/>
          <w:color w:val="auto"/>
        </w:rPr>
      </w:pPr>
      <w:r>
        <w:rPr>
          <w:rFonts w:ascii="Times New Roman" w:cs="Times New Roman" w:eastAsia="Times New Roman" w:hAnsi="Times New Roman"/>
          <w:sz w:val="17"/>
          <w:szCs w:val="17"/>
          <w:color w:val="auto"/>
        </w:rPr>
        <w:t>Generally, we require authorization from credit card or other payment vendors whose services we offer to our customers (such as PayPal, Apple Pay, Klarna), or verification of receipt of payment, before we ship products to consumers or business purchasers. We generally receive payments from our customers before our payments to our suppliers are due. We do not recognize assets associated with costs to obtain or fulfill a contract with a customer.</w:t>
      </w:r>
    </w:p>
    <w:p>
      <w:pPr>
        <w:spacing w:after="0" w:line="185"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Shipping and handling is considered a fulfillment activity, as it takes place prior to the customer obtaining control of the merchandise, and fees charged to customers are included in net revenue upon completion of our performance obligation. We present revenue net of sales taxes, discounts, and expected refunds.</w:t>
      </w:r>
    </w:p>
    <w:p>
      <w:pPr>
        <w:spacing w:after="0" w:line="20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merchandise sales contracts include terms that could cause variability in the transaction price for items such as discounts, credits, or sales returns. Accordingly, the transaction price for product sales includes estimates of variable consideration to the extent it is probable that a significant reversal of revenue recognized will not occur. At the time of sale, we estimate a sales return liability for the variable consideration based on historical experience, which is recorded within Accrued liabilities in the consolidated balance sheet. We record an allowance for returns based on current period revenues and historical returns experience. We analyze actual historical returns, current economic trends and changes in order volume and acceptance of our products when evaluating the adequacy of the sales returns allowance in any accounting period.</w:t>
      </w:r>
    </w:p>
    <w:p>
      <w:pPr>
        <w:spacing w:after="0" w:line="21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evaluate the criteria outlined in ASC 606-10-55, </w:t>
      </w:r>
      <w:r>
        <w:rPr>
          <w:rFonts w:ascii="Times New Roman" w:cs="Times New Roman" w:eastAsia="Times New Roman" w:hAnsi="Times New Roman"/>
          <w:sz w:val="18"/>
          <w:szCs w:val="18"/>
          <w:i w:val="1"/>
          <w:iCs w:val="1"/>
          <w:color w:val="auto"/>
        </w:rPr>
        <w:t>Principal versus Agent Considerations</w:t>
      </w:r>
      <w:r>
        <w:rPr>
          <w:rFonts w:ascii="Times New Roman" w:cs="Times New Roman" w:eastAsia="Times New Roman" w:hAnsi="Times New Roman"/>
          <w:sz w:val="18"/>
          <w:szCs w:val="18"/>
          <w:color w:val="auto"/>
        </w:rPr>
        <w:t>, in determining whether it is appropriate to record the gross amount of merchandise sales and related costs or the net amount earned as commissions. When we are the principal in a transaction and control the specific good or service before it is transferred to the customer, revenue is recorded gross; otherwise, revenue is recorded on a net basis. Through contractual terms with our partners, we have the ability to control the promised goods or services and as a result record the majority of our revenue on a gross basis.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Loyalty program</w:t>
      </w:r>
    </w:p>
    <w:p>
      <w:pPr>
        <w:spacing w:after="0" w:line="254"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We have a customer loyalty program called Welcome Rewards for which we sell annual memberships. For Welcome Rewards memberships, we record membership fees as unearned revenue and we recognize revenue ratably over the membership period.</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loyalty program allows members to earn dollars for qualifying purchases made on our Website. As such, the initial transaction price giving rise to the reward dollar is allocated to each separate performance obligation based upon its relative standalone selling price. In determining the stand-alone selling price, we incorporate assumptions about the redemption rates of loyalty points. We recognize revenue for loyalty program reward dollars when customers redeem such rewards as part of a purchase on our Website.</w:t>
      </w:r>
    </w:p>
    <w:p>
      <w:pPr>
        <w:spacing w:after="0" w:line="20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record the standalone value of reward dollars earned in unearned revenue at the time the reward dollars are earned. Loyalty program reward dollars expire 90 days after the customer's membership expires. We recognize estimated reward dollar breakage, to which we expect to be entitled, over the expected redemption period in proportion to actual redemptions by customers.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Revenue</w:t>
      </w:r>
    </w:p>
    <w:p>
      <w:pPr>
        <w:spacing w:after="0" w:line="254"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Advertising revenues are derived primarily from sponsored links and display advertisements that are placed on our Website, distributed via email, or sent out as direct mailers. Advertising revenue is recognized in revenue when the advertising services are rendered. Advertising revenues were less than 3% of total net revenues for all periods presented.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Unearned Revenue</w:t>
      </w:r>
    </w:p>
    <w:p>
      <w:pPr>
        <w:spacing w:after="0" w:line="254"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When the timing of our provision of goods or services is different from the timing of the payments made by our customers, we recognize a contract liability (customer payment precedes performance).</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Customer orders are recorded as unearned revenue when payment is received prior to delivery of products or services ordered. We record amounts received for loyalty program membership fees as unearned revenue and we recognize it ratably over the membership period. We record loyalty program reward dollars earned from purchases as unearned revenue at the time they are earned based upon the relative standalone selling price of the loyalty program reward dollar and we recognize it as revenue in proportion to the estimated pattern of rights exercised by the customer. If reward dollars are not redeemed, we recognize revenue upon expiration. In addition, we sell gift cards and record related unearned revenue at the time of the sale. We sell gift cards without expiration dates and we recognize revenue from a gift card upon redemption of the gift card. The unredeemed portion of our gift cards are recognized in revenue over the expected redemption period based upon the estimated pattern of rights exercised by the customer, if the gift cards are not subject to escheat laws.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returns allowance</w:t>
      </w:r>
    </w:p>
    <w:p>
      <w:pPr>
        <w:spacing w:after="0" w:line="22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Revenue is recorded net of estimated returns. We record an allowance for returns based on current period revenues and historical returns experience. We analyze actual historical returns, current economic trends and changes in order volume and acceptance of our products when evaluating the adequacy of the sales returns allowance in any accounting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cost of goods sold includes product costs, warehousing costs, outbound shipping costs, handling and fulfillment costs, customer service costs, and merchant fees, and is recorded in the same period in which related revenues have been recorded.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expense</w:t>
      </w:r>
    </w:p>
    <w:p>
      <w:pPr>
        <w:spacing w:after="0" w:line="22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expense the costs of producing advertisements the first time the advertising takes place and expense the cost of communicating advertising in the period during which the advertising space or airtime is used. Internet advertising expenses are recognized as incurred based on the terms of the individual agreements, which are generally: 1) a commission for traffic driven to our Website that generates a sale or 2) a referral fee based on the number of clicks on keywords or links to our Website generated during a given period. Advertising expense is included in Sales and marketing expenses in our consolidated statements of operations. Prepaid advertising is included in Prepaids and other current assets in our consolidated balance sheets.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measure compensation expense for our outstanding unvested restricted stock awards at fair value on the date of grant and recognize compensation expense over the service period for awards at the greater of a straight-line basis or on an accelerated schedule when vesting of the share-based awards exceeds a straight-line basis. When an award is forfeited prior to the vesting date, we recognize an adjustment for the previously recognized expense in the period of the forfeiture. See Note 19—Stock-Based Awards.</w:t>
      </w:r>
    </w:p>
    <w:p>
      <w:pPr>
        <w:spacing w:after="0" w:line="20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use the Black-Scholes option pricing model to determine the fair value of our employee stock purchase plan shares. The determination of the fair value of stock-based payment awards on the date of grant using an option pricing model is affected by our stock price and assumptions regarding a number of complex and subjective variables. These variables include our expected stock price volatility over the expected term of the awards, actual and projected employee stock option exercise behaviors, a risk-free interest rate and any expected dividends.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contingencies</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are involved in legal proceedings and other potential loss contingencies. We accrue a liability for such matters when it is probable that a loss has been incurred and the amount, or range of amounts, can be reasonably estimated. When only a range of probable loss can be estimated, the most probable amount in the range is accrued. If no amount within this range is a better estimate than any other amount within the range, the minimum amount in the range is accrued. We expense legal fees as incurred (See Note 16—Commitments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9"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43"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recognize deferred tax assets to the extent that we believe these assets are more likely than not to be realized. In evaluating our ability to recover our deferred tax assets within the jurisdiction from which they arise, we consider all available positive and negative evidence, including projected future taxable income, scheduled reversals of our deferred tax liabilities, tax planning strategies, and results of recent operations. Our projections of future taxable income are subject to changes in how we do business, economic outlook, political climate, and other conditions such as supply chain challenges, inflation, rising interest rates, geopolitical events, and other macroeconomic conditions, and judgment is required in determining our ability to use our deferred tax assets.</w:t>
      </w:r>
    </w:p>
    <w:p>
      <w:pPr>
        <w:spacing w:after="0" w:line="16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record uncertain tax positions in accordance with ASC 740 on the basis of a two-step process whereby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 We recognize interest and penalties related to unrecognized tax benefits within the income tax expense line in the accompanying consolidated income statements. Accrued interest and penalties are included within the related tax liability line in our consolidated balance sheets.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per share</w:t>
      </w:r>
    </w:p>
    <w:p>
      <w:pPr>
        <w:spacing w:after="0" w:line="25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Our Series A-1 preferred stock and Series B preferred stock (collectively, the "Preferred Shares") were considered participating securities, and as a result, net income (loss) per share has historically been calculated using the two-class method. Under this method, we give effect to preferred dividends and then allocate undistributed net income (loss) attributable to participating securities (based on the weighted average percentage of shares outstanding) in determining net income (loss) attributable to common shares. In periods of net loss, a determination is also made on whether a participating security holder has an obligation to share in the losses before allocating to participating securities. As of December 31, 2023 and 2022, there were no participating securities following our preferred stock conversion. See Note 18—Stockholders' Equity, </w:t>
      </w:r>
      <w:r>
        <w:rPr>
          <w:rFonts w:ascii="Times New Roman" w:cs="Times New Roman" w:eastAsia="Times New Roman" w:hAnsi="Times New Roman"/>
          <w:sz w:val="18"/>
          <w:szCs w:val="18"/>
          <w:i w:val="1"/>
          <w:iCs w:val="1"/>
          <w:color w:val="auto"/>
        </w:rPr>
        <w:t>Preferred stock conversion</w:t>
      </w:r>
      <w:r>
        <w:rPr>
          <w:rFonts w:ascii="Times New Roman" w:cs="Times New Roman" w:eastAsia="Times New Roman" w:hAnsi="Times New Roman"/>
          <w:sz w:val="18"/>
          <w:szCs w:val="18"/>
          <w:color w:val="auto"/>
        </w:rPr>
        <w:t>, for further information.</w:t>
      </w:r>
    </w:p>
    <w:p>
      <w:pPr>
        <w:spacing w:after="0" w:line="214"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net income (loss) attributable to common shares by the weighted average number of common shares outstanding during the period.</w:t>
      </w:r>
    </w:p>
    <w:p>
      <w:pPr>
        <w:spacing w:after="0" w:line="189"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Diluted net income (loss) per share is computed by dividing net income (loss) attributable to common shares by the weighted average number of common and potential common shares outstanding during the period. Potential common shares, comprising incremental common shares issuable from the employee stock purchase plan and restricted stock awards are included in the calculation of diluted net income (loss) per common share to the extent such shares are dilutive.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52"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public entities to disclose information about their reportable segments' significant expenses and other segment items on an interim and annual basis. For public entities, ASU 2023-07 is required to be adopted for annual periods beginning after December 15, 2023 and for interim periods within fiscal years beginning after December 15, 2024, with early adoption permitted. The Company is currently evaluating the impact of the adoption of this ASU on our consolidated financial statements and related disclosures. This ASU will likely result in us including the additional required disclosures when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9" w:right="359" w:bottom="1440" w:gutter="0" w:footer="0" w:header="0"/>
        </w:sectPr>
      </w:pPr>
    </w:p>
    <w:bookmarkStart w:id="57" w:name="page58"/>
    <w:bookmarkEnd w:id="57"/>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requires public entities to disclose disaggregated information about a reporting entity's effective tax rate reconciliation as well as additional information on income taxes paid. For public entities, ASU 2023-09 is required to be adopted for annual periods beginning after December 15, 2024, with early adoption permitted. The Company is currently evaluating the impact of the adoption of this ASU on our consolidated financial statements and related disclosures. This ASU will likely result in us including the additional required disclosures when adopted.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our assets and liabilities measured at fair value on a recurring basis using the following levels of inputs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 as indicated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9"/>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 Measurements at December 31, 2023</w:t>
            </w:r>
          </w:p>
        </w:tc>
        <w:tc>
          <w:tcPr>
            <w:tcW w:w="1220" w:type="dxa"/>
            <w:vAlign w:val="bottom"/>
            <w:tcBorders>
              <w:bottom w:val="single" w:sz="8" w:color="auto"/>
            </w:tcBorders>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spacing w:after="0"/>
              <w:rPr>
                <w:sz w:val="19"/>
                <w:szCs w:val="19"/>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9"/>
                <w:szCs w:val="19"/>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19"/>
                <w:szCs w:val="19"/>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equivalents—Money market mutual funds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246,425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246,425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41,046</w:t>
            </w: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 debt securities (1)</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10,484</w:t>
            </w: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Trading securities held in a "rabbi trust" (1)</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298,451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246,921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51,530</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compensation accrual "rabbi trust" (2)</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8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80" w:type="dxa"/>
            <w:vAlign w:val="bottom"/>
            <w:tcBorders>
              <w:bottom w:val="single" w:sz="8" w:color="auto"/>
            </w:tcBorders>
            <w:gridSpan w:val="9"/>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 Measurements at December 31, 2022</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spacing w:after="0"/>
              <w:rPr>
                <w:sz w:val="19"/>
                <w:szCs w:val="19"/>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9"/>
                <w:szCs w:val="19"/>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19"/>
                <w:szCs w:val="19"/>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equivalents—Money market mutual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252,650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252,650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82,787</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Trading securities held in a "rabbi trust" (1)</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82,787</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compensation accrual "rabbi trust" (2)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117" w:lineRule="exact"/>
        <w:rPr>
          <w:sz w:val="20"/>
          <w:szCs w:val="20"/>
          <w:color w:val="auto"/>
        </w:rPr>
      </w:pPr>
    </w:p>
    <w:p>
      <w:pPr>
        <w:ind w:left="1040" w:hanging="384"/>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Prepaids and other current assets and Other long-term assets, net in the consolidated balance sheets.</w:t>
      </w:r>
    </w:p>
    <w:p>
      <w:pPr>
        <w:spacing w:after="0" w:line="2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liabilities and Other long-term liabilities in the consolidated balance sheets.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activity for our Level 3 investments during the periods presented (in thousands):</w:t>
      </w:r>
    </w:p>
    <w:p>
      <w:pPr>
        <w:spacing w:after="0" w:line="46"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Level 3 investments at December 31, 2021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 due to acquisition of Level 3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 in fair value of Level 3 investments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Level 3 investments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 due to purchases of Level 3 investments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 in fair value of Level 3 investments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interest on Level 3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Level 3 investments at December 31, 2023</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84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102,355</w:t>
            </w:r>
          </w:p>
        </w:tc>
      </w:tr>
      <w:tr>
        <w:trPr>
          <w:trHeight w:val="229"/>
        </w:trPr>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18,920</w:t>
            </w:r>
          </w:p>
        </w:tc>
      </w:tr>
      <w:tr>
        <w:trPr>
          <w:trHeight w:val="234"/>
        </w:trPr>
        <w:tc>
          <w:tcPr>
            <w:tcW w:w="8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(38,488)</w:t>
            </w:r>
          </w:p>
        </w:tc>
      </w:tr>
      <w:tr>
        <w:trPr>
          <w:trHeight w:val="223"/>
        </w:trPr>
        <w:tc>
          <w:tcPr>
            <w:tcW w:w="8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82,787</w:t>
            </w:r>
          </w:p>
        </w:tc>
      </w:tr>
      <w:tr>
        <w:trPr>
          <w:trHeight w:val="218"/>
        </w:trPr>
        <w:tc>
          <w:tcPr>
            <w:tcW w:w="8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(41,741)</w:t>
            </w:r>
          </w:p>
        </w:tc>
      </w:tr>
      <w:tr>
        <w:trPr>
          <w:trHeight w:val="234"/>
        </w:trPr>
        <w:tc>
          <w:tcPr>
            <w:tcW w:w="8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23"/>
        </w:trPr>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51,530</w:t>
            </w: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80" w:space="720"/>
            <w:col w:w="2240"/>
          </w:cols>
          <w:pgMar w:left="320" w:top="92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4. ASSETS HELD FOR SALE</w:t>
      </w:r>
    </w:p>
    <w:p>
      <w:pPr>
        <w:spacing w:after="0" w:line="25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December 2023, the Company committed to a plan to sell our corporate headquarters and associated building loan on the corporate headquarters (the disposal group). Management has selected a broker to actively market and sell its corporate headquarters. As of December 31, 2023, the corporate headquarters and related assets and liabilities met the criteria to be classified as held for sale on our consolidated balance sheets. See Note 2— Accounting Policies and Supplemental Disclosures, </w:t>
      </w:r>
      <w:r>
        <w:rPr>
          <w:rFonts w:ascii="Times New Roman" w:cs="Times New Roman" w:eastAsia="Times New Roman" w:hAnsi="Times New Roman"/>
          <w:sz w:val="18"/>
          <w:szCs w:val="18"/>
          <w:i w:val="1"/>
          <w:iCs w:val="1"/>
          <w:color w:val="auto"/>
        </w:rPr>
        <w:t>Valuation of assets held for sale,</w:t>
      </w:r>
      <w:r>
        <w:rPr>
          <w:rFonts w:ascii="Times New Roman" w:cs="Times New Roman" w:eastAsia="Times New Roman" w:hAnsi="Times New Roman"/>
          <w:sz w:val="18"/>
          <w:szCs w:val="18"/>
          <w:color w:val="auto"/>
        </w:rPr>
        <w:t xml:space="preserve"> for further information. As a result, the Company recognized a write-down loss of $25.9 million upon classification as held for sale, which represents the adjustment between the carrying value and the fair value, less costs to sell, which is recorded in Other income (expense), net in our consolidated statements of operations. As of December 31, 2023, the corporate headquarters is being actively marketed to sell and is expected to sell within one year.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DISCONTINUED OPERATIONS</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January 25, 2021, we entered into an agreement with Medici Ventures, Pelion, and Pelion, Inc. (the "Medici Closing"), pursuant to which Medici Ventures converted to a Delaware limited partnership (the "Partnership") and Pelion became the sole general partner of the Partnership, and we became the limited partner of the Partnership. The term of the Partnership is eight years. A tZERO debt conversion was completed during the quarter ended March 31, 2021, following which Medici Ventures and Beyond held approximately 42% and 41%, respectively, of tZERO's outstanding common stock. On April 23, 2021, we entered into the Limited Partnership Agreement with Pelion, pursuant to which Pelion became the sole general partner, holding a 1% equity interest in the Partnership, and Beyond became a limited partner, holding a 99% equity interest in the Partnership. Our retained equity interest in these entities are classified as equity method securities as we are deemed to have significant influence, but not control, over these entities through holding more than a 20% interest in the entity.</w:t>
      </w:r>
    </w:p>
    <w:p>
      <w:pPr>
        <w:spacing w:after="0" w:line="21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At the Medici Closing, our retained equity interest in the Partnership and our direct minority interest in tZERO had a fair value of $288.8 million, inclusive of $3.4 million of capital calls funded at the Medici Closing. The fair value of these equity securities at the Medici Closing was estimated by taking the mid-point from a valuation range using a weighting of multiple valuation techniques on the underlying components of the equity securities to calculate a fair value for the whole, including discounted cash flow models and market transactional data, both of which incorporate significant unobservable inputs (Level 3). Approximately $149.9 million of the total $288.8 million Level 3 equity securities have been valued using unadjusted inputs that have not been internally developed by management, including third-party transactions and quotations. The significant unobservable inputs used in the $288.8 million fair value measurement of these Level 3 equity securities at the Medici Closing are summarized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Valuation Technique</w:t>
            </w:r>
          </w:p>
        </w:tc>
        <w:tc>
          <w:tcPr>
            <w:tcW w:w="4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 Inputs</w:t>
            </w:r>
          </w:p>
        </w:tc>
        <w:tc>
          <w:tcPr>
            <w:tcW w:w="25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8"/>
                <w:szCs w:val="18"/>
                <w:b w:val="1"/>
                <w:bCs w:val="1"/>
                <w:color w:val="auto"/>
              </w:rPr>
              <w:t>Range (1)</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43"/>
        </w:trPr>
        <w:tc>
          <w:tcPr>
            <w:tcW w:w="2560" w:type="dxa"/>
            <w:vAlign w:val="bottom"/>
            <w:gridSpan w:val="2"/>
            <w:vMerge w:val="continue"/>
          </w:tcPr>
          <w:p>
            <w:pPr>
              <w:spacing w:after="0"/>
              <w:rPr>
                <w:sz w:val="21"/>
                <w:szCs w:val="21"/>
                <w:color w:val="auto"/>
              </w:rPr>
            </w:pPr>
          </w:p>
        </w:tc>
        <w:tc>
          <w:tcPr>
            <w:tcW w:w="4620" w:type="dxa"/>
            <w:vAlign w:val="bottom"/>
            <w:gridSpan w:val="2"/>
            <w:vMerge w:val="continue"/>
          </w:tcPr>
          <w:p>
            <w:pPr>
              <w:spacing w:after="0"/>
              <w:rPr>
                <w:sz w:val="21"/>
                <w:szCs w:val="21"/>
                <w:color w:val="auto"/>
              </w:rPr>
            </w:pPr>
          </w:p>
        </w:tc>
        <w:tc>
          <w:tcPr>
            <w:tcW w:w="2500" w:type="dxa"/>
            <w:vAlign w:val="bottom"/>
            <w:gridSpan w:val="2"/>
            <w:vMerge w:val="continue"/>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0" w:type="dxa"/>
            <w:vAlign w:val="bottom"/>
          </w:tcPr>
          <w:p>
            <w:pPr>
              <w:spacing w:after="0"/>
              <w:rPr>
                <w:sz w:val="1"/>
                <w:szCs w:val="1"/>
                <w:color w:val="auto"/>
              </w:rPr>
            </w:pPr>
          </w:p>
        </w:tc>
      </w:tr>
      <w:tr>
        <w:trPr>
          <w:trHeight w:val="223"/>
        </w:trPr>
        <w:tc>
          <w:tcPr>
            <w:tcW w:w="2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Market approach</w:t>
            </w:r>
          </w:p>
        </w:tc>
        <w:tc>
          <w:tcPr>
            <w:tcW w:w="100" w:type="dxa"/>
            <w:vAlign w:val="bottom"/>
          </w:tcPr>
          <w:p>
            <w:pPr>
              <w:spacing w:after="0"/>
              <w:rPr>
                <w:sz w:val="19"/>
                <w:szCs w:val="19"/>
                <w:color w:val="auto"/>
              </w:rPr>
            </w:pPr>
          </w:p>
        </w:tc>
        <w:tc>
          <w:tcPr>
            <w:tcW w:w="4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Enterprise value to revenue multiple</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0.88x</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0.88x</w:t>
            </w:r>
          </w:p>
        </w:tc>
        <w:tc>
          <w:tcPr>
            <w:tcW w:w="0" w:type="dxa"/>
            <w:vAlign w:val="bottom"/>
          </w:tcPr>
          <w:p>
            <w:pPr>
              <w:spacing w:after="0"/>
              <w:rPr>
                <w:sz w:val="1"/>
                <w:szCs w:val="1"/>
                <w:color w:val="auto"/>
              </w:rPr>
            </w:pPr>
          </w:p>
        </w:tc>
      </w:tr>
      <w:tr>
        <w:trPr>
          <w:trHeight w:val="250"/>
        </w:trPr>
        <w:tc>
          <w:tcPr>
            <w:tcW w:w="2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Discount rate</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 - 35.0%</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32.4%</w:t>
            </w:r>
          </w:p>
        </w:tc>
        <w:tc>
          <w:tcPr>
            <w:tcW w:w="0" w:type="dxa"/>
            <w:vAlign w:val="bottom"/>
          </w:tcPr>
          <w:p>
            <w:pPr>
              <w:spacing w:after="0"/>
              <w:rPr>
                <w:sz w:val="1"/>
                <w:szCs w:val="1"/>
                <w:color w:val="auto"/>
              </w:rPr>
            </w:pPr>
          </w:p>
        </w:tc>
      </w:tr>
      <w:tr>
        <w:trPr>
          <w:trHeight w:val="256"/>
        </w:trPr>
        <w:tc>
          <w:tcPr>
            <w:tcW w:w="2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Discounted cash flows – exit</w:t>
            </w:r>
          </w:p>
        </w:tc>
        <w:tc>
          <w:tcPr>
            <w:tcW w:w="4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Enterprise value to revenue multiple</w:t>
            </w:r>
          </w:p>
        </w:tc>
        <w:tc>
          <w:tcPr>
            <w:tcW w:w="2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0.75x – 5.00x</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4.40x</w:t>
            </w:r>
          </w:p>
        </w:tc>
        <w:tc>
          <w:tcPr>
            <w:tcW w:w="0" w:type="dxa"/>
            <w:vAlign w:val="bottom"/>
          </w:tcPr>
          <w:p>
            <w:pPr>
              <w:spacing w:after="0"/>
              <w:rPr>
                <w:sz w:val="1"/>
                <w:szCs w:val="1"/>
                <w:color w:val="auto"/>
              </w:rPr>
            </w:pPr>
          </w:p>
        </w:tc>
      </w:tr>
      <w:tr>
        <w:trPr>
          <w:trHeight w:val="95"/>
        </w:trPr>
        <w:tc>
          <w:tcPr>
            <w:tcW w:w="2560" w:type="dxa"/>
            <w:vAlign w:val="bottom"/>
            <w:gridSpan w:val="2"/>
            <w:vMerge w:val="continue"/>
          </w:tcPr>
          <w:p>
            <w:pPr>
              <w:spacing w:after="0"/>
              <w:rPr>
                <w:sz w:val="8"/>
                <w:szCs w:val="8"/>
                <w:color w:val="auto"/>
              </w:rPr>
            </w:pPr>
          </w:p>
        </w:tc>
        <w:tc>
          <w:tcPr>
            <w:tcW w:w="4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Projected terminal year</w:t>
            </w:r>
          </w:p>
        </w:tc>
        <w:tc>
          <w:tcPr>
            <w:tcW w:w="2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2023 – 2027</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162"/>
        </w:trPr>
        <w:tc>
          <w:tcPr>
            <w:tcW w:w="2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multiple</w:t>
            </w:r>
          </w:p>
        </w:tc>
        <w:tc>
          <w:tcPr>
            <w:tcW w:w="4620" w:type="dxa"/>
            <w:vAlign w:val="bottom"/>
            <w:gridSpan w:val="2"/>
            <w:vMerge w:val="continue"/>
          </w:tcPr>
          <w:p>
            <w:pPr>
              <w:spacing w:after="0"/>
              <w:rPr>
                <w:sz w:val="14"/>
                <w:szCs w:val="14"/>
                <w:color w:val="auto"/>
              </w:rPr>
            </w:pPr>
          </w:p>
        </w:tc>
        <w:tc>
          <w:tcPr>
            <w:tcW w:w="2500" w:type="dxa"/>
            <w:vAlign w:val="bottom"/>
            <w:gridSpan w:val="2"/>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2560" w:type="dxa"/>
            <w:vAlign w:val="bottom"/>
            <w:gridSpan w:val="2"/>
            <w:vMerge w:val="continue"/>
          </w:tcPr>
          <w:p>
            <w:pPr>
              <w:spacing w:after="0"/>
              <w:rPr>
                <w:sz w:val="6"/>
                <w:szCs w:val="6"/>
                <w:color w:val="auto"/>
              </w:rPr>
            </w:pPr>
          </w:p>
        </w:tc>
        <w:tc>
          <w:tcPr>
            <w:tcW w:w="46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Annual revenue growth rate</w:t>
            </w:r>
          </w:p>
        </w:tc>
        <w:tc>
          <w:tcPr>
            <w:tcW w:w="2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 - 124.0%</w:t>
            </w:r>
          </w:p>
        </w:tc>
        <w:tc>
          <w:tcPr>
            <w:tcW w:w="120" w:type="dxa"/>
            <w:vAlign w:val="bottom"/>
            <w:shd w:val="clear" w:color="auto" w:fill="CCEEFF"/>
          </w:tcPr>
          <w:p>
            <w:pPr>
              <w:spacing w:after="0"/>
              <w:rPr>
                <w:sz w:val="6"/>
                <w:szCs w:val="6"/>
                <w:color w:val="auto"/>
              </w:rPr>
            </w:pPr>
          </w:p>
        </w:tc>
        <w:tc>
          <w:tcPr>
            <w:tcW w:w="1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184"/>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20" w:type="dxa"/>
            <w:vAlign w:val="bottom"/>
            <w:gridSpan w:val="2"/>
            <w:vMerge w:val="continue"/>
            <w:shd w:val="clear" w:color="auto" w:fill="CCEEFF"/>
          </w:tcPr>
          <w:p>
            <w:pPr>
              <w:spacing w:after="0"/>
              <w:rPr>
                <w:sz w:val="16"/>
                <w:szCs w:val="16"/>
                <w:color w:val="auto"/>
              </w:rPr>
            </w:pPr>
          </w:p>
        </w:tc>
        <w:tc>
          <w:tcPr>
            <w:tcW w:w="23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Annual EBITDA % of revenues</w:t>
            </w:r>
          </w:p>
        </w:tc>
        <w:tc>
          <w:tcPr>
            <w:tcW w:w="100" w:type="dxa"/>
            <w:vAlign w:val="bottom"/>
            <w:tcBorders>
              <w:bottom w:val="single" w:sz="8" w:color="CCEEFF"/>
            </w:tcBorders>
          </w:tcPr>
          <w:p>
            <w:pPr>
              <w:spacing w:after="0"/>
              <w:rPr>
                <w:sz w:val="22"/>
                <w:szCs w:val="22"/>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 - 41.2%</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36.3%</w:t>
            </w:r>
          </w:p>
        </w:tc>
        <w:tc>
          <w:tcPr>
            <w:tcW w:w="0" w:type="dxa"/>
            <w:vAlign w:val="bottom"/>
          </w:tcPr>
          <w:p>
            <w:pPr>
              <w:spacing w:after="0"/>
              <w:rPr>
                <w:sz w:val="1"/>
                <w:szCs w:val="1"/>
                <w:color w:val="auto"/>
              </w:rPr>
            </w:pPr>
          </w:p>
        </w:tc>
      </w:tr>
      <w:tr>
        <w:trPr>
          <w:trHeight w:val="236"/>
        </w:trPr>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Discount rate</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0" w:type="dxa"/>
            <w:vAlign w:val="bottom"/>
          </w:tcPr>
          <w:p>
            <w:pPr>
              <w:spacing w:after="0"/>
              <w:rPr>
                <w:sz w:val="1"/>
                <w:szCs w:val="1"/>
                <w:color w:val="auto"/>
              </w:rPr>
            </w:pPr>
          </w:p>
        </w:tc>
      </w:tr>
      <w:tr>
        <w:trPr>
          <w:trHeight w:val="257"/>
        </w:trPr>
        <w:tc>
          <w:tcPr>
            <w:tcW w:w="2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Discounted cash flows –</w:t>
            </w:r>
          </w:p>
        </w:tc>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Projected terminal year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2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0" w:type="dxa"/>
            <w:vAlign w:val="bottom"/>
          </w:tcPr>
          <w:p>
            <w:pPr>
              <w:spacing w:after="0"/>
              <w:rPr>
                <w:sz w:val="1"/>
                <w:szCs w:val="1"/>
                <w:color w:val="auto"/>
              </w:rPr>
            </w:pPr>
          </w:p>
        </w:tc>
      </w:tr>
      <w:tr>
        <w:trPr>
          <w:trHeight w:val="95"/>
        </w:trPr>
        <w:tc>
          <w:tcPr>
            <w:tcW w:w="2560" w:type="dxa"/>
            <w:vAlign w:val="bottom"/>
            <w:gridSpan w:val="2"/>
            <w:vMerge w:val="continue"/>
          </w:tcPr>
          <w:p>
            <w:pPr>
              <w:spacing w:after="0"/>
              <w:rPr>
                <w:sz w:val="8"/>
                <w:szCs w:val="8"/>
                <w:color w:val="auto"/>
              </w:rPr>
            </w:pPr>
          </w:p>
        </w:tc>
        <w:tc>
          <w:tcPr>
            <w:tcW w:w="46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Perpetual revenue growth rate</w:t>
            </w:r>
          </w:p>
        </w:tc>
        <w:tc>
          <w:tcPr>
            <w:tcW w:w="2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3.0%</w:t>
            </w:r>
          </w:p>
        </w:tc>
        <w:tc>
          <w:tcPr>
            <w:tcW w:w="120" w:type="dxa"/>
            <w:vAlign w:val="bottom"/>
            <w:shd w:val="clear" w:color="auto" w:fill="CCEEFF"/>
          </w:tcPr>
          <w:p>
            <w:pPr>
              <w:spacing w:after="0"/>
              <w:rPr>
                <w:sz w:val="8"/>
                <w:szCs w:val="8"/>
                <w:color w:val="auto"/>
              </w:rPr>
            </w:pPr>
          </w:p>
        </w:tc>
        <w:tc>
          <w:tcPr>
            <w:tcW w:w="1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62"/>
        </w:trPr>
        <w:tc>
          <w:tcPr>
            <w:tcW w:w="2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perpetual growth</w:t>
            </w:r>
          </w:p>
        </w:tc>
        <w:tc>
          <w:tcPr>
            <w:tcW w:w="4620" w:type="dxa"/>
            <w:vAlign w:val="bottom"/>
            <w:gridSpan w:val="2"/>
            <w:vMerge w:val="continue"/>
            <w:shd w:val="clear" w:color="auto" w:fill="CCEEFF"/>
          </w:tcPr>
          <w:p>
            <w:pPr>
              <w:spacing w:after="0"/>
              <w:rPr>
                <w:sz w:val="14"/>
                <w:szCs w:val="14"/>
                <w:color w:val="auto"/>
              </w:rPr>
            </w:pPr>
          </w:p>
        </w:tc>
        <w:tc>
          <w:tcPr>
            <w:tcW w:w="23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2560" w:type="dxa"/>
            <w:vAlign w:val="bottom"/>
            <w:gridSpan w:val="2"/>
            <w:vMerge w:val="continue"/>
          </w:tcPr>
          <w:p>
            <w:pPr>
              <w:spacing w:after="0"/>
              <w:rPr>
                <w:sz w:val="6"/>
                <w:szCs w:val="6"/>
                <w:color w:val="auto"/>
              </w:rPr>
            </w:pPr>
          </w:p>
        </w:tc>
        <w:tc>
          <w:tcPr>
            <w:tcW w:w="4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Annual revenue growth rate</w:t>
            </w: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6"/>
                <w:szCs w:val="6"/>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25.7%</w:t>
            </w:r>
          </w:p>
        </w:tc>
        <w:tc>
          <w:tcPr>
            <w:tcW w:w="0" w:type="dxa"/>
            <w:vAlign w:val="bottom"/>
          </w:tcPr>
          <w:p>
            <w:pPr>
              <w:spacing w:after="0"/>
              <w:rPr>
                <w:sz w:val="1"/>
                <w:szCs w:val="1"/>
                <w:color w:val="auto"/>
              </w:rPr>
            </w:pPr>
          </w:p>
        </w:tc>
      </w:tr>
      <w:tr>
        <w:trPr>
          <w:trHeight w:val="184"/>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20" w:type="dxa"/>
            <w:vAlign w:val="bottom"/>
            <w:gridSpan w:val="2"/>
            <w:vMerge w:val="continue"/>
          </w:tcPr>
          <w:p>
            <w:pPr>
              <w:spacing w:after="0"/>
              <w:rPr>
                <w:sz w:val="16"/>
                <w:szCs w:val="16"/>
                <w:color w:val="auto"/>
              </w:rPr>
            </w:pPr>
          </w:p>
        </w:tc>
        <w:tc>
          <w:tcPr>
            <w:tcW w:w="2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Annual EBITDA % of revenues</w:t>
            </w:r>
          </w:p>
        </w:tc>
        <w:tc>
          <w:tcPr>
            <w:tcW w:w="100" w:type="dxa"/>
            <w:vAlign w:val="bottom"/>
            <w:shd w:val="clear" w:color="auto" w:fill="CCEEFF"/>
          </w:tcPr>
          <w:p>
            <w:pPr>
              <w:spacing w:after="0"/>
              <w:rPr>
                <w:sz w:val="22"/>
                <w:szCs w:val="22"/>
                <w:color w:val="auto"/>
              </w:rPr>
            </w:pPr>
          </w:p>
        </w:tc>
        <w:tc>
          <w:tcPr>
            <w:tcW w:w="2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14.9%</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117" w:lineRule="exact"/>
        <w:rPr>
          <w:sz w:val="20"/>
          <w:szCs w:val="20"/>
          <w:color w:val="auto"/>
        </w:rPr>
      </w:pPr>
    </w:p>
    <w:p>
      <w:pPr>
        <w:ind w:left="980" w:right="380" w:hanging="324"/>
        <w:spacing w:after="0" w:line="261" w:lineRule="auto"/>
        <w:tabs>
          <w:tab w:leader="none" w:pos="10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range for the Annual revenue growth rate and Annual EBITDA % of revenues are based on the weighted average metrics for the annual periods of the separate cash flow models for the respective component.</w:t>
      </w:r>
    </w:p>
    <w:p>
      <w:pPr>
        <w:ind w:left="980" w:right="380" w:hanging="324"/>
        <w:spacing w:after="0" w:line="290" w:lineRule="auto"/>
        <w:tabs>
          <w:tab w:leader="none" w:pos="105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Unobservable inputs were weighted by the relative fair value based on the fair value of the underlying components subjected to the identified valuation technique. For projected terminal year, the amount represents the median of the inputs and is not a weighted average.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9" w:name="page60"/>
    <w:bookmarkEnd w:id="59"/>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recognized a $243.5 million gain upon deconsolidation of these entities which primarily relates to the remeasurement of our retained equity method interest in the Partnership and our direct minority interest in tZERO at fair value, which was included in our consolidated statements of operations as part of Income from discontinued operations, net of income taxes. We completed the entire funding of our $44.6 million capital commitment consistent with our proportional ownership interest, which was completed and funded in the second quarter of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Results of discontinued operations through the transaction date were as follows (in thousands):</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9"/>
          </w:tcPr>
          <w:p>
            <w:pPr>
              <w:ind w:lef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17,394</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13,716</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1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0" w:type="dxa"/>
            <w:vAlign w:val="bottom"/>
          </w:tcPr>
          <w:p>
            <w:pPr>
              <w:spacing w:after="0"/>
              <w:rPr>
                <w:sz w:val="1"/>
                <w:szCs w:val="1"/>
                <w:color w:val="auto"/>
              </w:rPr>
            </w:pPr>
          </w:p>
        </w:tc>
      </w:tr>
      <w:tr>
        <w:trPr>
          <w:trHeight w:val="20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13,509</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20,642</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from discontinued operations</w:t>
            </w:r>
          </w:p>
        </w:tc>
        <w:tc>
          <w:tcPr>
            <w:tcW w:w="116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(16,964)</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16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deconsolidation</w:t>
            </w:r>
          </w:p>
        </w:tc>
        <w:tc>
          <w:tcPr>
            <w:tcW w:w="11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243,541</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from discontinued operations before income taxes</w:t>
            </w:r>
          </w:p>
        </w:tc>
        <w:tc>
          <w:tcPr>
            <w:tcW w:w="1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230,850</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13,604</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income taxes</w:t>
            </w: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217,246</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loss attributable to noncontrolling interests from discontinued operations</w:t>
            </w:r>
          </w:p>
        </w:tc>
        <w:tc>
          <w:tcPr>
            <w:tcW w:w="11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from discontinued operations attributable to stockholders of Beyond, Inc.</w:t>
            </w: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217,581</w:t>
            </w:r>
          </w:p>
        </w:tc>
        <w:tc>
          <w:tcPr>
            <w:tcW w:w="0" w:type="dxa"/>
            <w:vAlign w:val="bottom"/>
          </w:tcPr>
          <w:p>
            <w:pPr>
              <w:spacing w:after="0"/>
              <w:rPr>
                <w:sz w:val="1"/>
                <w:szCs w:val="1"/>
                <w:color w:val="auto"/>
              </w:rPr>
            </w:pPr>
          </w:p>
        </w:tc>
      </w:tr>
      <w:tr>
        <w:trPr>
          <w:trHeight w:val="21"/>
        </w:trPr>
        <w:tc>
          <w:tcPr>
            <w:tcW w:w="6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ACCOUNTS RECEIVABLE, NET</w:t>
            </w: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4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 net consist of the following (in thousands):</w:t>
            </w: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6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receivables, trade</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10,595</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trade</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20,916</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17,693</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PREPAIDS AND OTHER CURRENT ASSETS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Prepaids and other current assets consist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38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maintenance</w:t>
            </w:r>
          </w:p>
        </w:tc>
        <w:tc>
          <w:tcPr>
            <w:tcW w:w="38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other</w:t>
            </w:r>
          </w:p>
        </w:tc>
        <w:tc>
          <w:tcPr>
            <w:tcW w:w="3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8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prepaids and other current assets</w:t>
            </w:r>
          </w:p>
        </w:tc>
        <w:tc>
          <w:tcPr>
            <w:tcW w:w="382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14,864</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18,833</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820" w:type="dxa"/>
            <w:vAlign w:val="bottom"/>
            <w:vMerge w:val="restart"/>
          </w:tcPr>
          <w:p>
            <w:pPr>
              <w:jc w:val="right"/>
              <w:ind w:right="2170"/>
              <w:spacing w:after="0"/>
              <w:rPr>
                <w:sz w:val="20"/>
                <w:szCs w:val="20"/>
                <w:color w:val="auto"/>
              </w:rPr>
            </w:pPr>
            <w:r>
              <w:rPr>
                <w:rFonts w:ascii="Times New Roman" w:cs="Times New Roman" w:eastAsia="Times New Roman" w:hAnsi="Times New Roman"/>
                <w:sz w:val="18"/>
                <w:szCs w:val="18"/>
                <w:color w:val="auto"/>
              </w:rPr>
              <w:t>60</w:t>
            </w: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16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9"/>
        </w:trPr>
        <w:tc>
          <w:tcPr>
            <w:tcW w:w="7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and equipment, net (excluding assets held for sale) consist of the following (in thousands):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51"/>
        </w:trPr>
        <w:tc>
          <w:tcPr>
            <w:tcW w:w="79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4"/>
                <w:szCs w:val="24"/>
                <w:color w:val="auto"/>
              </w:rPr>
            </w:pPr>
          </w:p>
        </w:tc>
      </w:tr>
      <w:tr>
        <w:trPr>
          <w:trHeight w:val="223"/>
        </w:trPr>
        <w:tc>
          <w:tcPr>
            <w:tcW w:w="79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 including internal-use software and website development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249,208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240,148</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12,642</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r>
      <w:tr>
        <w:trPr>
          <w:trHeight w:val="223"/>
        </w:trPr>
        <w:tc>
          <w:tcPr>
            <w:tcW w:w="7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261,922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255,694</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(234,345)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(228,671)</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27,577</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27,023</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780" w:firstLine="648"/>
        <w:spacing w:after="0" w:line="287" w:lineRule="auto"/>
        <w:rPr>
          <w:sz w:val="20"/>
          <w:szCs w:val="20"/>
          <w:color w:val="auto"/>
        </w:rPr>
      </w:pPr>
      <w:r>
        <w:rPr>
          <w:rFonts w:ascii="Times New Roman" w:cs="Times New Roman" w:eastAsia="Times New Roman" w:hAnsi="Times New Roman"/>
          <w:sz w:val="17"/>
          <w:szCs w:val="17"/>
          <w:color w:val="auto"/>
        </w:rPr>
        <w:t>Capitalized costs associated with internal-use software and website development, both developed internally and acquired externally, and depreciation of costs for the same periods associated with internal-use software and website development consist of the following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and website development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11,296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6,126</w:t>
            </w:r>
          </w:p>
        </w:tc>
      </w:tr>
      <w:tr>
        <w:trPr>
          <w:trHeight w:val="234"/>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of internal-use software and website development</w:t>
            </w:r>
          </w:p>
        </w:tc>
        <w:tc>
          <w:tcPr>
            <w:tcW w:w="9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w:t>
            </w:r>
          </w:p>
        </w:tc>
      </w:tr>
    </w:tbl>
    <w:p>
      <w:pPr>
        <w:spacing w:after="0" w:line="314"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is classified within the corresponding operating expense categories in the consolidated statements of operations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14,414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13,801</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r>
      <w:tr>
        <w:trPr>
          <w:trHeight w:val="223"/>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depreciation</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18,876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18,470</w:t>
            </w:r>
          </w:p>
        </w:tc>
      </w:tr>
      <w:tr>
        <w:trPr>
          <w:trHeight w:val="20"/>
        </w:trPr>
        <w:tc>
          <w:tcPr>
            <w:tcW w:w="6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we retired $8.6 million and $833,000, respectively, of fully depreciated property and equipment that were removed from service in 2023 and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INTANGIBLE ASSETS, NET</w:t>
      </w:r>
    </w:p>
    <w:p>
      <w:pPr>
        <w:spacing w:after="0" w:line="256"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On June 12, 2023, we entered into an Asset Purchase Agreement with Bed Bath &amp; Beyond Inc. ("BBBY"), and certain subsidiaries, to acquire certain intellectual property related to the Bed Bath &amp; Beyond banner from BBBY. On June 27, 2023, under a Bankruptcy Court supervised process, the U.S. Bankruptcy Court for the District of New Jersey approved the sale of the assets to the Company and on June 28, 2023, BBBY delivered the intellectual property assets via an Intellectual Property Assignment Agreement. The total purchase price, inclusive of direct acquisition-related expenses totaled $25.6 million, which has been allocated to two major asset categories consisting of $21.8 million for trade names with an indefinite useful life and $3.8 million for customer lists with an estimated useful life of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7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Intangible assets, net consist of the following (in thousands):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51"/>
        </w:trPr>
        <w:tc>
          <w:tcPr>
            <w:tcW w:w="79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4"/>
                <w:szCs w:val="24"/>
                <w:color w:val="auto"/>
              </w:rPr>
            </w:pPr>
          </w:p>
        </w:tc>
      </w:tr>
      <w:tr>
        <w:trPr>
          <w:trHeight w:val="223"/>
        </w:trPr>
        <w:tc>
          <w:tcPr>
            <w:tcW w:w="79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 gross (1)</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 of intangible assets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 net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117" w:lineRule="exact"/>
        <w:rPr>
          <w:sz w:val="20"/>
          <w:szCs w:val="20"/>
          <w:color w:val="auto"/>
        </w:rPr>
      </w:pPr>
    </w:p>
    <w:p>
      <w:pPr>
        <w:ind w:left="1040" w:hanging="384"/>
        <w:spacing w:after="0"/>
        <w:tabs>
          <w:tab w:leader="none" w:pos="10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2023, the weighted average remaining useful life for intangible assets subject to amortization, gross was 4.5 years.</w:t>
      </w:r>
    </w:p>
    <w:p>
      <w:pPr>
        <w:spacing w:after="0" w:line="248"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SECURITIES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Equity securities consist of the following (in thousands):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6"/>
        </w:trPr>
        <w:tc>
          <w:tcPr>
            <w:tcW w:w="79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2"/>
                <w:szCs w:val="22"/>
                <w:color w:val="auto"/>
              </w:rPr>
            </w:pPr>
          </w:p>
        </w:tc>
      </w:tr>
      <w:tr>
        <w:trPr>
          <w:trHeight w:val="223"/>
        </w:trPr>
        <w:tc>
          <w:tcPr>
            <w:tcW w:w="79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 accounted for under the equity method under ASC 323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114,827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213,494</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 accounted for under the equity method under the fair value option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82,787</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 under ASC 321</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 securities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155,873</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296,317</w:t>
            </w:r>
          </w:p>
        </w:tc>
      </w:tr>
      <w:tr>
        <w:trPr>
          <w:trHeight w:val="21"/>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our equity securities accounted for under the equity method (ASC 323) and related ownership interest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96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41"/>
        </w:trPr>
        <w:tc>
          <w:tcPr>
            <w:tcW w:w="896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r>
      <w:tr>
        <w:trPr>
          <w:trHeight w:val="225"/>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Medici Ventures, L.P.</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tZERO Group, Inc.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SpeedRoute, LLC</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w:t>
            </w:r>
          </w:p>
        </w:tc>
      </w:tr>
    </w:tbl>
    <w:p>
      <w:pPr>
        <w:spacing w:after="0" w:line="30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carrying amount of our equity method securities was $155.9 million at December 31, 2023, which is included in Equity securities on our consolidated balance sheets, of which $41.0 million is valued under the fair value option (tZERO and SpeedRoute). These investments are valued using Level 3 inputs, which represents 13.8% of assets measured at fair value. For our investments in Medici Ventures, L.P., tZERO, and SpeedRoute there is no difference in the carrying amount of the assets and liabilities and our maximum exposure to loss, and there is no difference between the carrying amount of our investment in Medici Ventures, L.P. and the amount of underlying equity we have in the entity's net assets.</w:t>
      </w:r>
    </w:p>
    <w:p>
      <w:pPr>
        <w:spacing w:after="0" w:line="210" w:lineRule="exact"/>
        <w:rPr>
          <w:sz w:val="20"/>
          <w:szCs w:val="20"/>
          <w:color w:val="auto"/>
        </w:rPr>
      </w:pPr>
    </w:p>
    <w:p>
      <w:pPr>
        <w:ind w:right="660" w:firstLine="648"/>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net gain (loss) recognized on equity method securities recorded in Other income (expense), net in our consolidated statements of operations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4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64"/>
        </w:trPr>
        <w:tc>
          <w:tcPr>
            <w:tcW w:w="64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Net gain (loss) recognized on our proportionate share of the net assets of our equity</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34"/>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 securities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w:t>
            </w:r>
          </w:p>
        </w:tc>
      </w:tr>
      <w:tr>
        <w:trPr>
          <w:trHeight w:val="234"/>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fair value of equity method securities held under fair value option</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color w:val="auto"/>
        </w:rPr>
        <w:t>Regulation S-X Rules 4-08(g) and 3-09</w:t>
      </w:r>
    </w:p>
    <w:p>
      <w:pPr>
        <w:spacing w:after="0" w:line="25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SEC Rules 4-08(g) and 3-09 of Regulation S-X, we must determine which, if any, of our equity method securities is a "significant subsidiary". Regulation S-X mandates the use of three different tests to determine if any of our equity securities are significant subsidiaries: the investment test, the asset test, and the income test. The table below provides the summarized financial information required by Rule 4-08(g) for those equity method securities in aggregate that have met the significance criteria, presented on a quarterly lag (in thousands):</w:t>
      </w: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98,544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122,015</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7"/>
              </w:rPr>
              <w:t>(17,166)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(25,055)</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7"/>
              </w:rPr>
              <w:t>(81,378)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(96,960)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6"/>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Results of Operations (1)</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6"/>
              </w:rPr>
              <w:t>26,404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31,187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6"/>
              </w:rPr>
              <w:t>20,800</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Pre-tax loss</w:t>
            </w:r>
          </w:p>
        </w:tc>
        <w:tc>
          <w:tcPr>
            <w:tcW w:w="340" w:type="dxa"/>
            <w:vAlign w:val="bottom"/>
          </w:tcPr>
          <w:p>
            <w:pPr>
              <w:spacing w:after="0"/>
              <w:rPr>
                <w:sz w:val="19"/>
                <w:szCs w:val="19"/>
                <w:color w:val="auto"/>
              </w:rPr>
            </w:pPr>
          </w:p>
        </w:tc>
        <w:tc>
          <w:tcPr>
            <w:tcW w:w="11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(19,895)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7"/>
              </w:rPr>
              <w:t>(37,619)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(24,528)</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(20,169)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7"/>
              </w:rPr>
              <w:t>(37,477)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(24,590)</w:t>
            </w: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117" w:lineRule="exact"/>
        <w:rPr>
          <w:sz w:val="20"/>
          <w:szCs w:val="20"/>
          <w:color w:val="auto"/>
        </w:rPr>
      </w:pPr>
    </w:p>
    <w:p>
      <w:pPr>
        <w:ind w:left="980" w:right="240" w:hanging="324"/>
        <w:spacing w:after="0" w:line="266" w:lineRule="auto"/>
        <w:tabs>
          <w:tab w:leader="none" w:pos="91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operations in the summarized financial information above excludes the financial information for the periods subsequent to the date an equity method investee ceased being accounted for under the equity method and only includes the financial information for the periods subsequent to the date an investee became an equity method investment and was accounted for under the equity method.</w:t>
      </w:r>
    </w:p>
    <w:p>
      <w:pPr>
        <w:spacing w:after="0" w:line="20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Rule 3-09 of Regulation S-X, separate audited financial statements of Medici Ventures, L.P. for the periods ended September 30, 2023, 2022 and 2021, their fiscal year-ends, are being included as Exhibit 99.3, Exhibit 99.2, and Exhibit 99.1, respectively, and as such are excluded from the table above. In addition, tZERO was not deemed significant for the year ended December 31, 2021 but was significant for the years ended December 31, 2023 and 2022. In accordance with Rule 3-09 of Regulation S-X, separate audited financial statements for tZERO for the year ended December 31, 2022, are included as Exhibit 99.4 and separate audited financial statements for the year ended December 31, 2023 will be filed subsequently as an amendment to this Form 10-K when available.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OTHER LONG-TERM ASSETS, NET</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9"/>
        </w:trPr>
        <w:tc>
          <w:tcPr>
            <w:tcW w:w="7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long-term assets, net consist of the following (in thousands):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6"/>
        </w:trPr>
        <w:tc>
          <w:tcPr>
            <w:tcW w:w="798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2"/>
                <w:szCs w:val="22"/>
                <w:color w:val="auto"/>
              </w:rPr>
            </w:pPr>
          </w:p>
        </w:tc>
      </w:tr>
      <w:tr>
        <w:trPr>
          <w:trHeight w:val="223"/>
        </w:trPr>
        <w:tc>
          <w:tcPr>
            <w:tcW w:w="79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other, long-term portion</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long-term assets, net</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w:t>
            </w:r>
          </w:p>
        </w:tc>
      </w:tr>
      <w:tr>
        <w:trPr>
          <w:trHeight w:val="20"/>
        </w:trPr>
        <w:tc>
          <w:tcPr>
            <w:tcW w:w="7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ACCRUED LIABILITIES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9"/>
        </w:trPr>
        <w:tc>
          <w:tcPr>
            <w:tcW w:w="7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51"/>
        </w:trPr>
        <w:tc>
          <w:tcPr>
            <w:tcW w:w="79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4"/>
                <w:szCs w:val="24"/>
                <w:color w:val="auto"/>
              </w:rPr>
            </w:pPr>
          </w:p>
        </w:tc>
      </w:tr>
      <w:tr>
        <w:trPr>
          <w:trHeight w:val="223"/>
        </w:trPr>
        <w:tc>
          <w:tcPr>
            <w:tcW w:w="79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marketing expenses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other related costs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12,018</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accruals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14,343</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returns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10,222</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freight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other taxes payable</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73,682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63,614</w:t>
            </w:r>
          </w:p>
        </w:tc>
      </w:tr>
      <w:tr>
        <w:trPr>
          <w:trHeight w:val="20"/>
        </w:trPr>
        <w:tc>
          <w:tcPr>
            <w:tcW w:w="7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BORROWINGS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loan agreements</w:t>
      </w:r>
    </w:p>
    <w:p>
      <w:pPr>
        <w:spacing w:after="0" w:line="25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March 2020, we entered into two loan agreements. The loan agreements provide a $34.5 million Senior Note, carrying interest at an annual rate of 4.242%, and a $13.0 million Mezzanine Note, carrying interest at an annual rate of 5.002%. The loans carry a blended annual interest rate of 4.45%. The Senior Note is for a 10-year term (stated maturity date is March 6, 2030) and requires interest only payments, with the principal amount and any then unpaid interest due and payable at the end of the 10-year term. The Mezzanine Note has a stated 10-year term, though the agreement requires principal and interest payments monthly over approximately a 46-month payment period. Our debt issuance costs and debt discount are amortized using the straight-line basis which approximates the effective interest method.</w:t>
      </w:r>
    </w:p>
    <w:p>
      <w:pPr>
        <w:spacing w:after="0" w:line="214"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the total outstanding debt on these loans was $34.5 million, net of $306,000 in capitalized debt issuance costs, and the total amount of the current portion of these loans was $232,000. Our total outstanding debt on these loans are classified as held-for-sale and included in Current debt, net held for sale and Long-term debt, net held for sale on our consolidated balance sheets. See Note 4—Assets Held for Sale for further information.</w:t>
      </w:r>
    </w:p>
    <w:p>
      <w:pPr>
        <w:spacing w:after="0" w:line="207"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Both loans include certain financial and non-financial covenants and are secured by our corporate headquarters and the related land and rank senior to stockholders. The financial covenants require that Beyond maintain a net worth in excess of $30 million and minimum liquid assets of $3 million for so long as the Mezzanine Note is outstanding and is reduced to maintaining a net worth in excess of $15 million and minimum liquid assets of</w:t>
      </w:r>
    </w:p>
    <w:p>
      <w:pPr>
        <w:spacing w:after="0" w:line="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$1 million for the remainder of the term that the Senior Note is outstanding. We are in compliance with our debt covenants and continue to monitor our ongoing compliance with our debt covenants.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principal payments on our total debt as of December 31, 2023, are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658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48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5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34,500</w:t>
            </w:r>
          </w:p>
        </w:tc>
        <w:tc>
          <w:tcPr>
            <w:tcW w:w="0" w:type="dxa"/>
            <w:vAlign w:val="bottom"/>
          </w:tcPr>
          <w:p>
            <w:pPr>
              <w:spacing w:after="0"/>
              <w:rPr>
                <w:sz w:val="1"/>
                <w:szCs w:val="1"/>
                <w:color w:val="auto"/>
              </w:rPr>
            </w:pPr>
          </w:p>
        </w:tc>
      </w:tr>
      <w:tr>
        <w:trPr>
          <w:trHeight w:val="248"/>
        </w:trPr>
        <w:tc>
          <w:tcPr>
            <w:tcW w:w="24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34,782</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bottom w:val="single" w:sz="8" w:color="CCEEFF"/>
            </w:tcBorders>
            <w:vMerge w:val="restart"/>
          </w:tcPr>
          <w:p>
            <w:pPr>
              <w:jc w:val="right"/>
              <w:ind w:right="3190"/>
              <w:spacing w:after="0"/>
              <w:rPr>
                <w:sz w:val="20"/>
                <w:szCs w:val="20"/>
                <w:color w:val="auto"/>
              </w:rPr>
            </w:pPr>
            <w:r>
              <w:rPr>
                <w:rFonts w:ascii="Times New Roman" w:cs="Times New Roman" w:eastAsia="Times New Roman" w:hAnsi="Times New Roman"/>
                <w:sz w:val="18"/>
                <w:szCs w:val="18"/>
                <w:color w:val="auto"/>
              </w:rPr>
              <w:t>64</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2420" w:type="dxa"/>
            <w:vAlign w:val="bottom"/>
          </w:tcPr>
          <w:p>
            <w:pPr>
              <w:spacing w:after="0"/>
              <w:rPr>
                <w:sz w:val="24"/>
                <w:szCs w:val="24"/>
                <w:color w:val="auto"/>
              </w:rPr>
            </w:pPr>
          </w:p>
        </w:tc>
        <w:tc>
          <w:tcPr>
            <w:tcW w:w="65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20" w:type="dxa"/>
            <w:vAlign w:val="bottom"/>
            <w:tcBorders>
              <w:bottom w:val="single" w:sz="8" w:color="9A9A9A"/>
            </w:tcBorders>
          </w:tcPr>
          <w:p>
            <w:pPr>
              <w:spacing w:after="0"/>
              <w:rPr>
                <w:sz w:val="10"/>
                <w:szCs w:val="10"/>
                <w:color w:val="auto"/>
              </w:rPr>
            </w:pPr>
          </w:p>
        </w:tc>
        <w:tc>
          <w:tcPr>
            <w:tcW w:w="65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25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We have operating leases for warehouses, office space, and data centers. Our leases have remaining lease terms of one year to four years, some of which may include options to extend the leases perpetually, and some of which may include options to terminate the leases within one year. Variable lease costs include executory costs, such as taxes, insurance, and maintenance.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Borders>
              <w:bottom w:val="single" w:sz="8" w:color="CCEEFF"/>
            </w:tcBorders>
          </w:tcPr>
          <w:p>
            <w:pPr>
              <w:spacing w:after="0"/>
              <w:rPr>
                <w:sz w:val="19"/>
                <w:szCs w:val="19"/>
                <w:color w:val="auto"/>
              </w:rPr>
            </w:pPr>
          </w:p>
        </w:tc>
        <w:tc>
          <w:tcPr>
            <w:tcW w:w="33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5,257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5,975</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4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1,300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1,489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74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w w:val="99"/>
              </w:rPr>
              <w:t>The following tables provides a summary of other information related to leases (in thousands):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Borders>
              <w:bottom w:val="single" w:sz="8" w:color="CCEEFF"/>
            </w:tcBorders>
          </w:tcPr>
          <w:p>
            <w:pPr>
              <w:spacing w:after="0"/>
              <w:rPr>
                <w:sz w:val="19"/>
                <w:szCs w:val="19"/>
                <w:color w:val="auto"/>
              </w:rPr>
            </w:pPr>
          </w:p>
        </w:tc>
        <w:tc>
          <w:tcPr>
            <w:tcW w:w="33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included in operating cash flows from lease arrangements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5,500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6,237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0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Derecognition of right-of-use assets due to reassessment of lease term</w:t>
            </w:r>
          </w:p>
        </w:tc>
        <w:tc>
          <w:tcPr>
            <w:tcW w:w="10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74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The following table provides a summary of balance sheet information related to leases: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8"/>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120" w:type="dxa"/>
            <w:vAlign w:val="bottom"/>
            <w:tcBorders>
              <w:bottom w:val="single" w:sz="8" w:color="CCEEFF"/>
            </w:tcBorders>
          </w:tcPr>
          <w:p>
            <w:pPr>
              <w:spacing w:after="0"/>
              <w:rPr>
                <w:sz w:val="19"/>
                <w:szCs w:val="19"/>
                <w:color w:val="auto"/>
              </w:rPr>
            </w:pPr>
          </w:p>
        </w:tc>
        <w:tc>
          <w:tcPr>
            <w:tcW w:w="3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term—operating leases</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1.57 years</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years</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rate—operating leases</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8"/>
        </w:trPr>
        <w:tc>
          <w:tcPr>
            <w:tcW w:w="20" w:type="dxa"/>
            <w:vAlign w:val="bottom"/>
          </w:tcPr>
          <w:p>
            <w:pPr>
              <w:spacing w:after="0"/>
              <w:rPr>
                <w:sz w:val="24"/>
                <w:szCs w:val="24"/>
                <w:color w:val="auto"/>
              </w:rPr>
            </w:pPr>
          </w:p>
        </w:tc>
        <w:tc>
          <w:tcPr>
            <w:tcW w:w="1014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auto"/>
              </w:rPr>
              <w:t>Maturity of lease liabilities under our non-cancellable operating leases as of December 31, 2023, are as follows (in thousands):</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3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0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15. OTHER LONG-TERM LIABILITIES</w:t>
            </w:r>
          </w:p>
        </w:tc>
        <w:tc>
          <w:tcPr>
            <w:tcW w:w="1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440" w:type="dxa"/>
            <w:vAlign w:val="bottom"/>
            <w:gridSpan w:val="3"/>
            <w:vMerge w:val="continue"/>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4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Other long-term liabilities consist of the following (in thousands):</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120" w:type="dxa"/>
            <w:vAlign w:val="bottom"/>
            <w:tcBorders>
              <w:bottom w:val="single" w:sz="8" w:color="CCEEFF"/>
            </w:tcBorders>
          </w:tcPr>
          <w:p>
            <w:pPr>
              <w:spacing w:after="0"/>
              <w:rPr>
                <w:sz w:val="19"/>
                <w:szCs w:val="19"/>
                <w:color w:val="auto"/>
              </w:rPr>
            </w:pPr>
          </w:p>
        </w:tc>
        <w:tc>
          <w:tcPr>
            <w:tcW w:w="3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Unearned revenue, long-term portion</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5,583</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payable, long-term portion</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3,684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9,107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 and contingencies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are involved in litigation concerning consumer protection, employment, intellectual property, claims under the securities laws, and other commercial matters related to the conduct and operation of our business and the sale of products on our Website. In connection with such litigation, we have been in the past and we may be in the future subject to significant damages. In some instances, other parties may have contractual indemnification obligations to us. However, such contractual obligations may prove unenforceable or non-collectible, and if we cannot enforce or collect on indemnification obligations, we may bear the full responsibility for damages, fees, and costs resulting from such litigation. We may also be subject to penalties and equitable remedies that could force us to alter important business practices. Such litigation could be costly and time consuming and could divert or distract our management and key personnel from our business operations. Due to the uncertainty of litigation and depending on the amount and the timing, an unfavorable resolution of some or all of such matters could materially affect our business, results of operations, financial position, or cash flows. The nature of the loss contingencies relating to claims that have been asserted against us are described below.</w:t>
      </w:r>
    </w:p>
    <w:p>
      <w:pPr>
        <w:spacing w:after="0" w:line="18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As previously disclosed, in October 2019, we received a subpoena from the SEC requiring us to produce documents and other information related to the Series A-1 Preferred stock dividend we announced to stockholders in June 2019 and requesting copies of 10b5-1 plans entered into by certain officers and directors. In December 2019, we received a subpoena from the SEC requesting our insider trading policies and certain employment and consulting agreements. We also received requests from the SEC for our communications with our former Chief Executive Officer and Director, Patrick Byrne, and the matters referenced in the December 2019 subpoenas. In January 2021, we received a subpoena from the SEC requesting information regarding our retail guidance in 2019 and certain communications with current and former executives, board members, and investors. We continue to cooperate with the SEC on these matters.</w:t>
      </w:r>
    </w:p>
    <w:p>
      <w:pPr>
        <w:spacing w:after="0" w:line="21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September 27, 2019, a purported securities class action lawsuit was filed against us and our former Chief Executive Officer and former Chief Financial Officer in the United States District Court of Utah, alleging violations under Section 10(b), Rule 10b-5, Section 20(a), and Section 20A of the Securities Exchange Act of 1934, as amended (the "Exchange Act"). On October 8, 2019, October 17, 2019, October 31, 2019, and November 20, 2019, four similar lawsuits were filed in the same court also naming us and the above referenced former executives as defendants, bringing similar claims under the Exchange Act, and seeking similar relief. These cases were consolidated into a single lawsuit in December 2019. The Court appointed The Mangrove Partners Master Fund Ltd. as lead plaintiff in January 2020. In March 2020, an amended consolidated complaint was filed against us, our President, our former Chief Executive Officer, and our former Chief Financial Officer. We filed a motion to dismiss and, on September 28, 2020, the court granted our motion and entered judgment in our favor. The plaintiffs filed a motion to amend their complaint on October 23, 2020. The United States District Court of Utah granted the plaintiffs' motion to amend their complaint on January 6, 2021. The plaintiffs filed their amended complaint on January 11, 2021. We filed a motion to dismiss plaintiffs' amended complaint, and on September 20, 2021, the court granted our motion and entered judgment in our favor. On October 18, 2021, the plaintiffs filed a Notice of Appeal, appealing the ruling of the district court to the United States Court of Appeals for the Tenth Circuit. We are awaiting a ruling from the Tenth Circuit that heard oral argument on the appeal on February 9, 2023. No estimates of the possible losses or range of losses can be made at this time. We intend to continue to vigorously defend this consolidated action.</w:t>
      </w:r>
    </w:p>
    <w:p>
      <w:pPr>
        <w:spacing w:after="0" w:line="21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November 22, 2019, a shareholder derivative suit was filed against us and certain past and present directors and officers of ours in the United States District Court for the District of Delaware, with allegations that include: (i) breach of fiduciary duties, (ii) unjust enrichment, (iii) insider selling and misappropriation of the Company's information, and (iv) contribution under Sections 10(b) and 21D of the Exchange Act. On December 17, 2019, a similar lawsuit was filed in the same court, naming the same defendants, bringing similar claims, and seeking similar relief. These cases were consolidated into a single lawsuit in January 2020. In March 2020, the court entered a stay on litigation, pending the outcome of the securities class action motion to dismiss. The case remains stayed pending the outcome of the plaintiffs' appeal to the Tenth Circuit in the securities class action. No estimates of the possible losses or range of losses can be made at this time. We intend to vigorously defend these actions.</w:t>
      </w:r>
    </w:p>
    <w:p>
      <w:pPr>
        <w:spacing w:after="0" w:line="216" w:lineRule="exact"/>
        <w:rPr>
          <w:sz w:val="20"/>
          <w:szCs w:val="20"/>
          <w:color w:val="auto"/>
        </w:rPr>
      </w:pPr>
    </w:p>
    <w:p>
      <w:pPr>
        <w:ind w:right="200" w:firstLine="648"/>
        <w:spacing w:after="0" w:line="312" w:lineRule="auto"/>
        <w:rPr>
          <w:sz w:val="20"/>
          <w:szCs w:val="20"/>
          <w:color w:val="auto"/>
        </w:rPr>
      </w:pPr>
      <w:r>
        <w:rPr>
          <w:rFonts w:ascii="Times New Roman" w:cs="Times New Roman" w:eastAsia="Times New Roman" w:hAnsi="Times New Roman"/>
          <w:sz w:val="17"/>
          <w:szCs w:val="17"/>
          <w:color w:val="auto"/>
        </w:rPr>
        <w:t>On March 1, 2021, a putative class action lawsuit was filed against us in the Circuit Court of the County of St. Louis, State of Missouri, alleging that we over-collected taxes on products sold into the state of Missouri. The matter has been resolved and the case was dismissed on February 14, 2024.</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66" w:name="page67"/>
    <w:bookmarkEnd w:id="66"/>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We establish liabilities when a particular contingency is probable and estimable which are included in Accrued liabilities in our consolidated balance sheets. At December 31, 2023 and 2022, our established liabilities were not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INDEMNIFICATIONS AND GUARANTEES</w:t>
      </w:r>
    </w:p>
    <w:p>
      <w:pPr>
        <w:spacing w:after="0" w:line="229"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color w:val="auto"/>
        </w:rPr>
        <w:t>During our normal course of business, we have made certain indemnities, commitments, and guarantees under which we may be required to make payments in relation to certain transactions. These indemnities include, but are not limited to, indemnities we entered into in favor of Loan Core Capital Funding Corporation LLC under our building loan agreements, various lessors in connection with facility leases for certain claims arising from such facility or lease, the environmental indemnity we entered into in favor of the lenders under our prior loan agreements, customary indemnification arrangements in underwriting agreements and similar agreements, and indemnities to our directors and officers to the maximum extent permitted under the laws of the State of Delaware. The duration of these indemnities, commitments, and guarantees varies, and in certain cases, is indefinite. In addition, the majority of these indemnities, commitments, and guarantees do not provide for any limitation of the maximum potential future payments we could be obligated to make. As such, we are unable to estimate with any reasonableness our potential exposure under these items. We have not recorded any liability for these indemnities, commitments, and guarantees in the accompanying consolidated balance sheets. We do, however, accrue losses for any known contingent liability, including those that may arise from indemnification provisions, when future payment is both probable and reasonably estimable.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STOCKHOLDERS' EQUITY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5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Each share of common stock has the right to one vote. The holders of common stock are also entitled to receive dividends declared by the Board of Directors out of funds legally available, subject to prior rights of holders of all classes of stock outstanding having priority rights as to dividends.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 conversion</w:t>
      </w:r>
    </w:p>
    <w:p>
      <w:pPr>
        <w:spacing w:after="0" w:line="25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May 12, 2022, Beyond shareholders voted to approve separate proposals to approve the amendment of the Company's Amended and Restated Certificate of Designation for both classes of its preferred stock to provide that each share of our Series A-1 and Series B preferred stock be automatically converted into 0.90 of a share of our common stock (the "Conversion"). On June 10, 2022, in connection with the completion of the Conversion, the Company issued 4,097,697 shares of our common stock in exchange for the outstanding Series A-1 and Series B preferred stock on that date. As the fair value of our common stock issued exceeded the fair value of the Series A-1 and Series B preferred stock exchanged on the Conversion date, we recognized a non-cash deemed dividend to our preferred stockholders of $1.7 million due to the excess fair value per share compared to the conversion ratio. Following the Conversion, the Company eliminated the Series A-1 and Series B preferred stock classes by filing Certificates of Elimination with the Delaware Secretary of State.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JonesTrading Sales Agreement</w:t>
      </w:r>
    </w:p>
    <w:p>
      <w:pPr>
        <w:spacing w:after="0" w:line="25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entered into an Amended and Restated Capital on Demand</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Sales Agreement (the "Sales Agreement") dated June 26, 2020 with JonesTrading Institutional Services LLC ("JonesTrading") and D.A. Davidson &amp; Co. ("D.A. Davidson"), under which we may conduct "at the market" public offerings of our common stock. Under the Sales Agreement, JonesTrading and D.A. Davidson, acting as our agents, may offer our common stock in the market on a daily basis or otherwise as we request from time to time. We have no obligation to sell additional shares under the Sales Agreement, but we may do so from time to time. For the years ended December 31, 2023, 2022, and 2021, we did not sell any shares of our common stock pursuant to the Sales Agreement. The Sales Agreement remains active; however, the authorization from our Board of Directors to sell shares of our common stock pursuant to the Sales Agreement has expired.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and Preferred Stock Repurchase Program</w:t>
      </w:r>
    </w:p>
    <w:p>
      <w:pPr>
        <w:spacing w:after="0" w:line="25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On August 17, 2021, we announced that our Board of Directors had approved a stock repurchase program (the “Repurchase Program”), pursuant to which we may, from time to time, purchase shares of our outstanding common stock for an aggregate repurchase price not to exceed $100.0 million at any time through December 31, 2023. On December 21, 2023, we announced that our Board of Directors approved an extension and expansion of the Repurchase Program for an additional two years and expanded the repurchase amount by $50.0 million, for a total repurchase amount of up to $150.0 million of our common stock. The Repurchase Program expires in December 2025.</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67" w:name="page68"/>
    <w:bookmarkEnd w:id="67"/>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Repurchases under the Repurchase Program may be effected through open market purchases. The Repurchase Committee designated by the Board of Directors will determine the actual timing, number, and value of any shares repurchased under the Repurchase Program in its discretion using factors including, but not limited to, our stock price and trading volume, general market conditions, and the ongoing assessment of our capital needs. There is no assurance of the number or aggregate price of any shares that we will ultimately repurchase under the Repurchase Program, which may be extended, suspended, or terminated at any time by the Board of Directors.</w:t>
      </w:r>
    </w:p>
    <w:p>
      <w:pPr>
        <w:spacing w:after="0" w:line="21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we did not repurchase any shares of our common stock under the Repurchase Program. For the year ended December 31, 2022, we repurchased $79.8 million of our common stock and $306,000 of our Series A-1 preferred stock under the Repurchase Program at average prices of $32.41 and $42.16 per share, respectively. For the year ended December 31, 2022, we retired 7,244 shares of our Series A-1 preferred stock treasury stock which had been previously repurchased under the Repurchase Program. The retirement increased Accumulated deficit by $306,000. As of December 31, 2023, we had $69.9 million available for future share repurchases under our current repurchase authorization through December 31,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STOCK-BASED AWARDS</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equity incentive and compensatory plans that provide for the grant of stock-based awards, including restricted stock, to employees and board members and provide employees the ability to purchase shares of our common stock through an employee stock purchase plan. Employee accounting applies to equity incentives and compensation granted by the Company to its own employees. When an award is forfeited prior to the vesting date, we recognize an adjustment for the previously recognized expense in the period of the forfeiture.</w:t>
      </w:r>
    </w:p>
    <w:p>
      <w:pPr>
        <w:spacing w:after="0" w:line="207"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is classified within the corresponding operating expense categories on our consolidated statements of operations as follows (in thousands):</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4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w:t>
            </w:r>
          </w:p>
        </w:tc>
      </w:tr>
      <w:tr>
        <w:trPr>
          <w:trHeight w:val="230"/>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13,452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6,245</w:t>
            </w:r>
          </w:p>
        </w:tc>
      </w:tr>
      <w:tr>
        <w:trPr>
          <w:trHeight w:val="248"/>
        </w:trPr>
        <w:tc>
          <w:tcPr>
            <w:tcW w:w="6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23,018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11,133</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Beyond restricted stock awards</w:t>
      </w:r>
    </w:p>
    <w:p>
      <w:pPr>
        <w:spacing w:after="0" w:line="254"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18"/>
          <w:szCs w:val="18"/>
          <w:color w:val="auto"/>
        </w:rPr>
        <w:t>The Beyond, Inc. Amended and Restated 2005 Equity Incentive Plan provides for the grant of restricted stock units to employees and directors of the Company and other types of equity awards of the Company. The Compensation Committee of the Board of Directors approves grants of restricted stock awards to our officers, board members and employees. These restricted stock awards generally vest over three years at 33.3% at the end of the first</w:t>
      </w:r>
    </w:p>
    <w:p>
      <w:pPr>
        <w:spacing w:after="0" w:line="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year, 33.3% at the end of the second year and 33.4% at the end of the third year; subject to the recipient's continuing service to us. At December 31, 2023, 3.3 million shares of stock remained available for future grants under the Plan.</w:t>
      </w:r>
    </w:p>
    <w:p>
      <w:pPr>
        <w:spacing w:after="0" w:line="20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cost of restricted stock units is determined using the fair value of our common stock on the date of the grant and compensation expense is either recognized on a straight-line basis over the vesting schedule or on an accelerated schedule when vesting of restricted stock awards exceeds a straight-line basis. The cumulative amount of compensation expense recognized at any point in time is at least equal to the portion of the grant date fair value of the award that is vested at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color w:val="auto"/>
        </w:rPr>
        <w:t>The following table summarizes restricted stock award activity (in thousands, except fair value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6"/>
        </w:trPr>
        <w:tc>
          <w:tcPr>
            <w:tcW w:w="3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0"/>
        </w:trPr>
        <w:tc>
          <w:tcPr>
            <w:tcW w:w="3720" w:type="dxa"/>
            <w:vAlign w:val="bottom"/>
          </w:tcPr>
          <w:p>
            <w:pPr>
              <w:spacing w:after="0"/>
              <w:rPr>
                <w:sz w:val="15"/>
                <w:szCs w:val="15"/>
                <w:color w:val="auto"/>
              </w:rPr>
            </w:pPr>
          </w:p>
        </w:tc>
        <w:tc>
          <w:tcPr>
            <w:tcW w:w="9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9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9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38"/>
        </w:trPr>
        <w:tc>
          <w:tcPr>
            <w:tcW w:w="372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3"/>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Outstanding—beginning of year</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0" w:type="dxa"/>
            <w:vAlign w:val="bottom"/>
          </w:tcPr>
          <w:p>
            <w:pPr>
              <w:spacing w:after="0"/>
              <w:rPr>
                <w:sz w:val="1"/>
                <w:szCs w:val="1"/>
                <w:color w:val="auto"/>
              </w:rPr>
            </w:pPr>
          </w:p>
        </w:tc>
      </w:tr>
      <w:tr>
        <w:trPr>
          <w:trHeight w:val="229"/>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 at fair value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Pr>
          <w:p>
            <w:pPr>
              <w:spacing w:after="0"/>
              <w:rPr>
                <w:sz w:val="19"/>
                <w:szCs w:val="19"/>
                <w:color w:val="auto"/>
              </w:rPr>
            </w:pPr>
          </w:p>
        </w:tc>
        <w:tc>
          <w:tcPr>
            <w:tcW w:w="9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7"/>
              </w:rPr>
              <w:t>(295)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7"/>
              </w:rPr>
              <w:t>(205)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Outstanding—end of year</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781</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5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2021 Employee Stock Purchase Plan (the "ESPP") grants our eligible employees a right to purchase shares of our common stock at a discount through payroll deductions of up to 25% of eligible compensation, subject to a cap of $21,250 in any calendar year. The ESPP provides for consecutive 24-month offering periods beginning March 1 and September 1 of each year. Each offering period shall consist of four consecutive six-month purchase periods. The first offering period under the ESPP commenced on September 1, 2021, with the first purchase date occurring on February 28, 2022.</w:t>
      </w:r>
    </w:p>
    <w:p>
      <w:pPr>
        <w:spacing w:after="0" w:line="20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On each purchase date, participating employees will purchase shares of our common stock at a price per share equal to 85% of the lesser of the fair market value of our common stock on (i) the offering date of the offering period or (ii) the purchase date (the "look-back" period). If the stock price of our common stock on any purchase date in an offering period is lower than the stock price on the offering date of that offering period, every participant in the offering will automatically be withdrawn from the offering after the purchase of shares on such purchase date and automatically enrolled in a new offering period commencing immediately subsequent to such purchase date.</w:t>
      </w:r>
    </w:p>
    <w:p>
      <w:pPr>
        <w:spacing w:after="0" w:line="210"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maximum number of shares of common stock that may be issued under the ESPP in aggregate is 3.0 million shares. For the years ended December 31, 2023 and 2022, 117,687 shares and 83,570 shares, respectively were purchased at an average price per share of $16.25 and $35.41, respectively. At December 31, 2023, approximately 2.8 million shares of common stock remained available under the ESPP.</w:t>
      </w:r>
    </w:p>
    <w:p>
      <w:pPr>
        <w:spacing w:after="0" w:line="20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ESPP is considered a compensatory plan and the fair value of the discount and the look-back period will be estimated using the Black-Scholes option pricing model and expense will be recognized straight-line over the 24-month offering period. We recognized $1.7 million, $2.4 million and $863,000 in share-based compensation expense related to the ESPP for the years ended December 31, 2023, 2022 and 2021, respectively, which are included in the stock compensation expense table above combined with the expense associated with our restricted stock units.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EMPLOYEE RETIREMENT PLAN</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have a 401(k) defined contribution plan which permits participating employees to defer a portion of their compensation, subject to limitations established by the Internal Revenue Code. During the years ended December 31, 2023, 2022 and 2021, employees who completed 3 months of service and are 21 years of age or older are qualified to participate in the plan which matches 100% of the first 6% of each participant's contributions to the plan subject to IRS limits. Matching contributions vest immediately. Participant contributions also vest immediately. Our matching contribution totaled $5.0 million, $5.7 million and $5.2 million for the years ended December 31, 2023, 2022 and 2021, respectively. We made no discretionary contributions to eligible participants for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 REVENUE AND CONTRACT LIABILITY</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Unearned revenue</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2"/>
        </w:trPr>
        <w:tc>
          <w:tcPr>
            <w:tcW w:w="7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Unearned revenue consists of the following (in thousands):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51"/>
        </w:trPr>
        <w:tc>
          <w:tcPr>
            <w:tcW w:w="79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4"/>
                <w:szCs w:val="24"/>
                <w:color w:val="auto"/>
              </w:rPr>
            </w:pPr>
          </w:p>
        </w:tc>
      </w:tr>
      <w:tr>
        <w:trPr>
          <w:trHeight w:val="223"/>
        </w:trPr>
        <w:tc>
          <w:tcPr>
            <w:tcW w:w="79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Loyalty program membership fees and reward points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16,795</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product revenue on undelivered product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10,932</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store credits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12,046</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product revenue on unshipped orders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unearned revenue</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49,597</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44,480</w:t>
            </w:r>
          </w:p>
        </w:tc>
      </w:tr>
      <w:tr>
        <w:trPr>
          <w:trHeight w:val="20"/>
        </w:trPr>
        <w:tc>
          <w:tcPr>
            <w:tcW w:w="7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unearned revenue from contracts with customers, including significant changes in unearned revenue balances during the period (in thousands):</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9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 at December 31, 2021</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rPr>
              <w:t>59,387</w:t>
            </w:r>
          </w:p>
        </w:tc>
      </w:tr>
      <w:tr>
        <w:trPr>
          <w:trHeight w:val="230"/>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due to deferral of revenue at period end, net</w:t>
            </w:r>
          </w:p>
        </w:tc>
        <w:tc>
          <w:tcPr>
            <w:tcW w:w="440" w:type="dxa"/>
            <w:vAlign w:val="bottom"/>
          </w:tcPr>
          <w:p>
            <w:pPr>
              <w:spacing w:after="0"/>
              <w:rPr>
                <w:sz w:val="19"/>
                <w:szCs w:val="19"/>
                <w:color w:val="auto"/>
              </w:rPr>
            </w:pPr>
          </w:p>
        </w:tc>
        <w:tc>
          <w:tcPr>
            <w:tcW w:w="18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32,993</w:t>
            </w:r>
          </w:p>
        </w:tc>
      </w:tr>
      <w:tr>
        <w:trPr>
          <w:trHeight w:val="22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due to beginning contract liabilities recognized as revenue</w:t>
            </w:r>
          </w:p>
        </w:tc>
        <w:tc>
          <w:tcPr>
            <w:tcW w:w="4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rPr>
              <w:t>(47,900)</w:t>
            </w:r>
          </w:p>
        </w:tc>
      </w:tr>
      <w:tr>
        <w:trPr>
          <w:trHeight w:val="223"/>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Unearned revenue at December 31, 2022</w:t>
            </w:r>
          </w:p>
        </w:tc>
        <w:tc>
          <w:tcPr>
            <w:tcW w:w="4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color w:val="auto"/>
              </w:rPr>
              <w:t>44,480</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due to deferral of revenue at period end, net</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rPr>
              <w:t>35,290</w:t>
            </w:r>
          </w:p>
        </w:tc>
      </w:tr>
      <w:tr>
        <w:trPr>
          <w:trHeight w:val="230"/>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due to beginning contract liabilities recognized as revenue</w:t>
            </w:r>
          </w:p>
        </w:tc>
        <w:tc>
          <w:tcPr>
            <w:tcW w:w="4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center"/>
              <w:ind w:left="1010"/>
              <w:spacing w:after="0"/>
              <w:rPr>
                <w:sz w:val="20"/>
                <w:szCs w:val="20"/>
                <w:color w:val="auto"/>
              </w:rPr>
            </w:pPr>
            <w:r>
              <w:rPr>
                <w:rFonts w:ascii="Times New Roman" w:cs="Times New Roman" w:eastAsia="Times New Roman" w:hAnsi="Times New Roman"/>
                <w:sz w:val="18"/>
                <w:szCs w:val="18"/>
                <w:color w:val="auto"/>
              </w:rPr>
              <w:t>(30,173)</w:t>
            </w:r>
          </w:p>
        </w:tc>
      </w:tr>
      <w:tr>
        <w:trPr>
          <w:trHeight w:val="248"/>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 at December 31, 2023</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rPr>
              <w:t>49,597</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100" w:firstLine="648"/>
        <w:spacing w:after="0" w:line="277" w:lineRule="auto"/>
        <w:rPr>
          <w:sz w:val="20"/>
          <w:szCs w:val="20"/>
          <w:color w:val="auto"/>
        </w:rPr>
      </w:pPr>
      <w:r>
        <w:rPr>
          <w:rFonts w:ascii="Times New Roman" w:cs="Times New Roman" w:eastAsia="Times New Roman" w:hAnsi="Times New Roman"/>
          <w:sz w:val="17"/>
          <w:szCs w:val="17"/>
          <w:color w:val="auto"/>
        </w:rPr>
        <w:t>Our total unearned revenue related to outstanding loyalty program rewards was $12.1 million and $10.9 million at December 31, 2023 and 2022, respectively. Breakage income related to loyalty program rewards and gift cards is recognized in Net revenue in our consolidated statements of operations. Breakage included in revenue was $5.1 million, $4.4 million, and $6.9 million for the years ended December 31, 2023, 2022, and 2021, respectively. The timing of revenue recognition of these reward dollars is driven by actual customer activities, such as redemptions and expirations. At December 31, 2023, we had an additional $5.6 million of unearned contract revenue classified within Other long-term liabilities on our consolidated balance sheets.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returns allowance</w:t>
      </w:r>
    </w:p>
    <w:p>
      <w:pPr>
        <w:spacing w:after="0" w:line="22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additions to and deduction from the sales returns allowance, which is included in our Accrued liabilities balance in our consolidated balance sheets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returns at December 31, 2020</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19,190</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the allowance</w:t>
            </w:r>
          </w:p>
        </w:tc>
        <w:tc>
          <w:tcPr>
            <w:tcW w:w="4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237,622</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from the allowance</w:t>
            </w:r>
          </w:p>
        </w:tc>
        <w:tc>
          <w:tcPr>
            <w:tcW w:w="4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(242,889)</w:t>
            </w:r>
          </w:p>
        </w:tc>
      </w:tr>
      <w:tr>
        <w:trPr>
          <w:trHeight w:val="223"/>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returns at December 31, 2021</w:t>
            </w:r>
          </w:p>
        </w:tc>
        <w:tc>
          <w:tcPr>
            <w:tcW w:w="4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13,923</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the allowance</w:t>
            </w:r>
          </w:p>
        </w:tc>
        <w:tc>
          <w:tcPr>
            <w:tcW w:w="4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161,492</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Deductions from the allowance</w:t>
            </w:r>
          </w:p>
        </w:tc>
        <w:tc>
          <w:tcPr>
            <w:tcW w:w="4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(165,193)</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returns at December 31, 2022</w:t>
            </w:r>
          </w:p>
        </w:tc>
        <w:tc>
          <w:tcPr>
            <w:tcW w:w="4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10,222</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the allowance</w:t>
            </w:r>
          </w:p>
        </w:tc>
        <w:tc>
          <w:tcPr>
            <w:tcW w:w="4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121,939</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from the allowance</w:t>
            </w:r>
          </w:p>
        </w:tc>
        <w:tc>
          <w:tcPr>
            <w:tcW w:w="4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(123,510)</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returns at December 31, 2023</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8,651</w:t>
            </w:r>
          </w:p>
        </w:tc>
      </w:tr>
      <w:tr>
        <w:trPr>
          <w:trHeight w:val="20"/>
        </w:trPr>
        <w:tc>
          <w:tcPr>
            <w:tcW w:w="9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22. INTEREST INCOME (EXPENSE), NET</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Interest income (expense), net consisted of the following (in thousands):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4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6"/>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income (expense),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23. OTHER INCOME (EXPENSE), NET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64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income (expense), net consisted of the following (in thousands):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4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6"/>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disposal of cryptocurrencies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equity method securities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12,585</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Write-down of assets held for sale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equity securities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(160,024)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(63,825)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financial reporting purposes, income (loss) from continuing operations before income taxes includes the following components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6"/>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income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(267,058)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121,180</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income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(loss) from continuing operations before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123,016</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514"/>
        </w:trPr>
        <w:tc>
          <w:tcPr>
            <w:tcW w:w="848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The provision (benefit) for income taxes for 2023, 2022 and 2021 consists of the following (in thousands):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1"/>
        </w:trPr>
        <w:tc>
          <w:tcPr>
            <w:tcW w:w="64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6"/>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1160" w:type="dxa"/>
            <w:vAlign w:val="bottom"/>
            <w:tcBorders>
              <w:bottom w:val="single" w:sz="8" w:color="auto"/>
            </w:tcBorders>
          </w:tcPr>
          <w:p>
            <w:pPr>
              <w:spacing w:after="0"/>
              <w:rPr>
                <w:sz w:val="24"/>
                <w:szCs w:val="24"/>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w:t>
            </w:r>
          </w:p>
        </w:tc>
      </w:tr>
      <w:tr>
        <w:trPr>
          <w:trHeight w:val="230"/>
        </w:trPr>
        <w:tc>
          <w:tcPr>
            <w:tcW w:w="6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3"/>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(49,045)</w:t>
            </w: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w:t>
            </w: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6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deferred</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(53,834)</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(48,775)</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1" w:name="page72"/>
    <w:bookmarkEnd w:id="71"/>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provision (benefit) for income taxes for 2023, 2022 and 2021 differ from the amounts computed by applying the U.S. federal income tax rate of 21% to income (loss) before income taxes for the following reasons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9"/>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income tax provision (benefit) at statutory rate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(7,109)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25,833</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expense, net of federal benefit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(2,956)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intangible low-tax income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w:t>
            </w:r>
          </w:p>
        </w:tc>
      </w:tr>
      <w:tr>
        <w:trPr>
          <w:trHeight w:val="22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110,646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10,643</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(77,090)</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(48,775)</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514"/>
        </w:trPr>
        <w:tc>
          <w:tcPr>
            <w:tcW w:w="960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rPr>
              <w:t>The components of our deferred tax assets and liabilities as of December 31, 2023 and 2022 are as follows (in thousands):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51"/>
        </w:trPr>
        <w:tc>
          <w:tcPr>
            <w:tcW w:w="6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4"/>
                <w:szCs w:val="24"/>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Basis difference in equity securities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34,729</w:t>
            </w:r>
          </w:p>
        </w:tc>
        <w:tc>
          <w:tcPr>
            <w:tcW w:w="40" w:type="dxa"/>
            <w:vAlign w:val="bottom"/>
          </w:tcPr>
          <w:p>
            <w:pPr>
              <w:spacing w:after="0"/>
              <w:rPr>
                <w:sz w:val="19"/>
                <w:szCs w:val="19"/>
                <w:color w:val="auto"/>
              </w:rPr>
            </w:pPr>
          </w:p>
        </w:tc>
        <w:tc>
          <w:tcPr>
            <w:tcW w:w="6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15,302</w:t>
            </w: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20,711</w:t>
            </w:r>
          </w:p>
        </w:tc>
      </w:tr>
      <w:tr>
        <w:trPr>
          <w:trHeight w:val="229"/>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software development</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12,604</w:t>
            </w: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20,549</w:t>
            </w:r>
          </w:p>
        </w:tc>
      </w:tr>
      <w:tr>
        <w:trPr>
          <w:trHeight w:val="229"/>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revenue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w:t>
            </w: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 held for sale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w:t>
            </w: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Reserves and other</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tax credits and carryforwards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30"/>
        </w:trPr>
        <w:tc>
          <w:tcPr>
            <w:tcW w:w="6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3"/>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136,694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84,306</w:t>
            </w:r>
          </w:p>
        </w:tc>
      </w:tr>
      <w:tr>
        <w:trPr>
          <w:trHeight w:val="230"/>
        </w:trPr>
        <w:tc>
          <w:tcPr>
            <w:tcW w:w="6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(132,105)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(21,459)</w:t>
            </w:r>
          </w:p>
        </w:tc>
      </w:tr>
      <w:tr>
        <w:trPr>
          <w:trHeight w:val="223"/>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62,847</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Basis difference in equity securities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(15,072)</w:t>
            </w: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w:t>
            </w: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r>
      <w:tr>
        <w:trPr>
          <w:trHeight w:val="229"/>
        </w:trPr>
        <w:tc>
          <w:tcPr>
            <w:tcW w:w="6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23"/>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(21,408)</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 net</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41,439</w:t>
            </w:r>
          </w:p>
        </w:tc>
      </w:tr>
      <w:tr>
        <w:trPr>
          <w:trHeight w:val="20"/>
        </w:trPr>
        <w:tc>
          <w:tcPr>
            <w:tcW w:w="6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2023, our net deferred tax asset of $91,000 is made up of $152,000 of foreign deferred tax assets and offset by $61,000 of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liabilities which are included in Other long-term liabilities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2" w:name="page73"/>
    <w:bookmarkEnd w:id="72"/>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For tax years beginning on or after January 1, 2022, the Tax Cuts and Jobs Act of 2017 eliminated the option to deduct research and development expenditures, including software development, as defined under IRC Section 174, in the year incurred. Instead, taxpayers are required to amortize such expenditures over five years if incurred in the U.S. and over fifteen years if incurred in a foreign jurisdiction. This requirement caused us to generate fewer federal and state tax net operating loss carryforwards in the current year than our operating loss would have normally generated. We may utilize federal and state tax net operating loss carryforwards at a faster rate than our financial statement earnings in the future and there may be increases to cash taxes paid unless legislation is passed that would defer, repeal, or otherwise modify these requirements. This change also impacted certain other computations within our tax provision, such as increasing our research and development credit generated each year.</w:t>
      </w:r>
    </w:p>
    <w:p>
      <w:pPr>
        <w:spacing w:after="0" w:line="21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At December 31, 2023, we have federal net operating loss carryforwards with no expiration date of approximately $107.4 million; the utilization of these net operating loss carryforwards is limited to 80% of taxable income in any given year. We have state net operating loss carryforwards with no expiration date of approximately $73.8 million primarily in the state of Utah; the utilization of these net operating loss carryforwards is limited to 80% of taxable income in the state in any given year. We also have state net operating loss carryforwards of approximately $63.6 million that expire between 2028 and 2043.</w:t>
      </w:r>
    </w:p>
    <w:p>
      <w:pPr>
        <w:spacing w:after="0" w:line="21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At December 31, 2023, we have federal research credit carryforwards of approximately $28.0 million that expire between 2031 and 2043. We also have state research credit carryforwards of approximately $10.3 million that expire between 2024 and 2037. Ownership changes under Internal Revenue Code Section 382 could limit the amount of net operating losses or credit carryforwards that can be used in the future.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quarter we assess on a jurisdictional basis whether it is more likely than not that our deferred tax assets will be realized under ASC Topic</w:t>
      </w:r>
    </w:p>
    <w:p>
      <w:pPr>
        <w:spacing w:after="0" w:line="27" w:lineRule="exact"/>
        <w:rPr>
          <w:sz w:val="20"/>
          <w:szCs w:val="20"/>
          <w:color w:val="auto"/>
        </w:rPr>
      </w:pPr>
    </w:p>
    <w:p>
      <w:pPr>
        <w:ind w:firstLine="8"/>
        <w:spacing w:after="0" w:line="251" w:lineRule="auto"/>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carryback ability, and therefore we must rely on future taxable income, including tax planning strategies and future reversals of taxable temporary differences, to recover our deferred tax assets. We assess available positive and negative evidence to estimate whether we will generate sufficient future taxable income to use our existing deferred tax assets. A significant piece of objective negative evidence evaluated as of December 31, 2023, is the expectation to be in a cumulative loss position over a three-year period, in the near future. This expectation stems from recent changes in management and operational focus; the Company will be focused on driving growth in active customers and launching new products and services. While these changes are projected to increase both revenues and profits in the long-term, in the short-term we are projecting losses as we invest in these endeavors. These short-term losses, coupled with our recent operating results, indicate we will be in a cumulative loss position over a three-year period, in the near future. A cumulative loss, including the expectation to be in a cumulative loss position in the near-term because of forecasting near-term losses, is significant negative evidence that is difficult to overcome. Such objective negative evidence limits our ability to consider other more subjective evidence such as our projections for future growth. On the basis of this evaluation, as of December 31, 2023, a valuation allowance has been recorded against our deferred tax assets for the U.S. jurisdiction, not supported by reversals of taxable temporary differences. We previously maintained a valuation allowance against our deferred tax assets for capital losses and the state of Utah where not supported by future reversals of taxable temporary differences. For the year ended December 31, 2023, the total increase in the valuation allowance was $110.6 million. We intend to continue maintaining a valuation allowance on our net U.S. deferred tax assets until there is sufficient evidence to support the reversal of all or some portion of these allowances. The amount of the deferred tax asset considered realizable could be adjusted if objective negative evidence in the form of cumulative losses is no longer present and additional weight is given to subjective evidence such as our projections for growth. We will continue to monitor the need for a valuation allowance against our deferred tax assets on a quarterly basis.</w:t>
      </w:r>
    </w:p>
    <w:p>
      <w:pPr>
        <w:spacing w:after="0" w:line="21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unrecognized tax benefits, excluding interest and penalties, as of December 31, 2023, 2022 and 2021 is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13,488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taken in prior years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15,020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11,961</w:t>
            </w:r>
          </w:p>
        </w:tc>
      </w:tr>
      <w:tr>
        <w:trPr>
          <w:trHeight w:val="20"/>
        </w:trPr>
        <w:tc>
          <w:tcPr>
            <w:tcW w:w="6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3" w:name="page74"/>
    <w:bookmarkEnd w:id="73"/>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Included in the balance of unrecognized tax benefits as of December 31, 2023, 2022 and 2021, are approximately $15.0 million, $13.5 million, and $12.0 million, respectively, of tax benefits that, if recognized, and the valuation allowance against our net deferred tax assets were released, would affect the effective tax rate. We believe it is reasonably possible that these unrecognized tax benefits will continue to increase in the future.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interest and penalties on unrecognized tax benefits as of December 31, 2023 and 2022 were $1.3 million and $1.1 million, respectively.</w:t>
      </w:r>
    </w:p>
    <w:p>
      <w:pPr>
        <w:spacing w:after="0" w:line="2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taxation in the United States and various state and foreign jurisdictions. Tax years beginning in 2019 are subject to examination by taxing authorities, although net operating loss and credit carryforwards from all years are subject to examinations and adjustments for at least three years following the year in which the attributes are used.</w:t>
      </w:r>
    </w:p>
    <w:p>
      <w:pPr>
        <w:spacing w:after="0" w:line="203"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As we repatriate foreign earnings for use in the United States, the distributions will generally be exempt from federal and foreign income taxes but may be subject to certain state taxes. As of December 31, 2023, the cumulative amount of foreign earnings considered permanently reinvested upon which taxes have not been provided, and the corresponding unrecognized deferred tax liability, was not material.</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25. NET INCOME (LOSS) PER SHARE</w:t>
      </w:r>
    </w:p>
    <w:p>
      <w:pPr>
        <w:spacing w:after="0" w:line="25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common share for the periods indicated (in thousands, except per share data):</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(307,842)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171,791</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Preferred stock dividends—declared and accumulated</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Undistributed income (loss) from continuing operations</w:t>
            </w: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(307,842)</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(36,933)</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171,062</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Undistributed income allocated to participating securities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16,409</w:t>
            </w:r>
          </w:p>
        </w:tc>
        <w:tc>
          <w:tcPr>
            <w:tcW w:w="0" w:type="dxa"/>
            <w:vAlign w:val="bottom"/>
          </w:tcPr>
          <w:p>
            <w:pPr>
              <w:spacing w:after="0"/>
              <w:rPr>
                <w:sz w:val="1"/>
                <w:szCs w:val="1"/>
                <w:color w:val="auto"/>
              </w:rPr>
            </w:pP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 attributable to common stockholders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(307,842)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154,653</w:t>
            </w:r>
          </w:p>
        </w:tc>
        <w:tc>
          <w:tcPr>
            <w:tcW w:w="0" w:type="dxa"/>
            <w:vAlign w:val="bottom"/>
          </w:tcPr>
          <w:p>
            <w:pPr>
              <w:spacing w:after="0"/>
              <w:rPr>
                <w:sz w:val="1"/>
                <w:szCs w:val="1"/>
                <w:color w:val="auto"/>
              </w:rPr>
            </w:pP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217,581</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Undistributed income allocated to participating securities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20,870</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from discontinued operations attributable to common stockholders</w:t>
            </w: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196,711</w:t>
            </w:r>
          </w:p>
        </w:tc>
        <w:tc>
          <w:tcPr>
            <w:tcW w:w="0" w:type="dxa"/>
            <w:vAlign w:val="bottom"/>
          </w:tcPr>
          <w:p>
            <w:pPr>
              <w:spacing w:after="0"/>
              <w:rPr>
                <w:sz w:val="1"/>
                <w:szCs w:val="1"/>
                <w:color w:val="auto"/>
              </w:rPr>
            </w:pPr>
          </w:p>
        </w:tc>
      </w:tr>
      <w:tr>
        <w:trPr>
          <w:trHeight w:val="248"/>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351,364</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shares outstanding—basic</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42,981</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awards</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48"/>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shares outstanding—diluted</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43,332</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 per share of common stock:</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from discontinued operations per share of common stock:</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20" w:type="dxa"/>
            <w:vAlign w:val="bottom"/>
            <w:vMerge w:val="continue"/>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 (loss) per share of common stock:</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shares were excluded from the calculation of diluted shares outstanding as their effect would have been anti-dilutive (in thousands):</w:t>
      </w:r>
    </w:p>
    <w:p>
      <w:pPr>
        <w:spacing w:after="0" w:line="11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42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4"/>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26. BUSINESS SEGMENTS</w:t>
      </w:r>
    </w:p>
    <w:p>
      <w:pPr>
        <w:spacing w:after="0" w:line="25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evaluated our reportable segments in accordance with 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based on how we manage our business. At the conclusion of this evaluation, we concluded that we have one reportable segment, Retail, which primarily consists of amounts earned through e-commerce product sales through our Website. All corporate support costs (administrative functions such as finance, human resources, and legal) are allocated to our single reportable segment. The results of that segment are shown on our consolidated statements of operations as continuing operations.</w:t>
      </w:r>
    </w:p>
    <w:p>
      <w:pPr>
        <w:spacing w:after="0" w:line="20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substantially all our revenues were attributable to customers in the United States. At December 31, 2023 and 2022, substantially all our property and equipment were located in the United States.</w:t>
      </w: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27" w:right="4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220" w:type="dxa"/>
            <w:vAlign w:val="bottom"/>
          </w:tcPr>
          <w:p>
            <w:pPr>
              <w:spacing w:after="0"/>
              <w:rPr>
                <w:sz w:val="17"/>
                <w:szCs w:val="17"/>
                <w:color w:val="auto"/>
              </w:rPr>
            </w:pPr>
          </w:p>
        </w:tc>
        <w:tc>
          <w:tcPr>
            <w:tcW w:w="14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Charged to</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0" w:type="dxa"/>
            <w:vAlign w:val="bottom"/>
          </w:tcPr>
          <w:p>
            <w:pPr>
              <w:spacing w:after="0"/>
              <w:rPr>
                <w:sz w:val="1"/>
                <w:szCs w:val="1"/>
                <w:color w:val="auto"/>
              </w:rPr>
            </w:pPr>
          </w:p>
        </w:tc>
      </w:tr>
      <w:tr>
        <w:trPr>
          <w:trHeight w:val="175"/>
        </w:trPr>
        <w:tc>
          <w:tcPr>
            <w:tcW w:w="4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rPr>
              <w:t>Beginning of</w:t>
            </w:r>
          </w:p>
        </w:tc>
        <w:tc>
          <w:tcPr>
            <w:tcW w:w="2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2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20" w:type="dxa"/>
            <w:vAlign w:val="bottom"/>
          </w:tcPr>
          <w:p>
            <w:pPr>
              <w:spacing w:after="0"/>
              <w:rPr>
                <w:sz w:val="21"/>
                <w:szCs w:val="21"/>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22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End of Year</w:t>
            </w:r>
          </w:p>
        </w:tc>
        <w:tc>
          <w:tcPr>
            <w:tcW w:w="0" w:type="dxa"/>
            <w:vAlign w:val="bottom"/>
          </w:tcPr>
          <w:p>
            <w:pPr>
              <w:spacing w:after="0"/>
              <w:rPr>
                <w:sz w:val="1"/>
                <w:szCs w:val="1"/>
                <w:color w:val="auto"/>
              </w:rPr>
            </w:pPr>
          </w:p>
        </w:tc>
      </w:tr>
      <w:tr>
        <w:trPr>
          <w:trHeight w:val="223"/>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110,646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132,105</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sales returns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8,651</w:t>
            </w:r>
          </w:p>
        </w:tc>
        <w:tc>
          <w:tcPr>
            <w:tcW w:w="0" w:type="dxa"/>
            <w:vAlign w:val="bottom"/>
          </w:tcPr>
          <w:p>
            <w:pPr>
              <w:spacing w:after="0"/>
              <w:rPr>
                <w:sz w:val="1"/>
                <w:szCs w:val="1"/>
                <w:color w:val="auto"/>
              </w:rPr>
            </w:pPr>
          </w:p>
        </w:tc>
      </w:tr>
      <w:tr>
        <w:trPr>
          <w:trHeight w:val="230"/>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21,459</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sales returns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10,222</w:t>
            </w:r>
          </w:p>
        </w:tc>
        <w:tc>
          <w:tcPr>
            <w:tcW w:w="0" w:type="dxa"/>
            <w:vAlign w:val="bottom"/>
          </w:tcPr>
          <w:p>
            <w:pPr>
              <w:spacing w:after="0"/>
              <w:rPr>
                <w:sz w:val="1"/>
                <w:szCs w:val="1"/>
                <w:color w:val="auto"/>
              </w:rPr>
            </w:pPr>
          </w:p>
        </w:tc>
      </w:tr>
      <w:tr>
        <w:trPr>
          <w:trHeight w:val="229"/>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Deferred tax valuation allowance </w:t>
            </w:r>
            <w:r>
              <w:rPr>
                <w:rFonts w:ascii="Times New Roman" w:cs="Times New Roman" w:eastAsia="Times New Roman" w:hAnsi="Times New Roman"/>
                <w:sz w:val="23"/>
                <w:szCs w:val="23"/>
                <w:color w:val="auto"/>
                <w:vertAlign w:val="superscript"/>
              </w:rPr>
              <w:t>(1)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134,305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(77,090)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11,384</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sales returns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13,923</w:t>
            </w:r>
          </w:p>
        </w:tc>
        <w:tc>
          <w:tcPr>
            <w:tcW w:w="0" w:type="dxa"/>
            <w:vAlign w:val="bottom"/>
          </w:tcPr>
          <w:p>
            <w:pPr>
              <w:spacing w:after="0"/>
              <w:rPr>
                <w:sz w:val="1"/>
                <w:szCs w:val="1"/>
                <w:color w:val="auto"/>
              </w:rPr>
            </w:pPr>
          </w:p>
        </w:tc>
      </w:tr>
      <w:tr>
        <w:trPr>
          <w:trHeight w:val="234"/>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Amounts contain continuing and discontinued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77" w:name="page78"/>
    <w:bookmarkEnd w:id="77"/>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9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4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 13a-15(e) and 15d-15(e) of the Securities Exchange Act of 1934, as amended (the "Exchange Act"). The term disclosure controls and procedures means controls and other procedures of an issuer that are designed to ensure that information required to be disclosed by the issuer in the reports that it files or submits under the Exchange Act is recorded, processed, summarized and reported, within the time periods specified in the Commission's rules and forms.</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carried out an evaluation required by the Exchange Act under the supervision and with the participation of our principal executive officer and principal financial officer, of the effectiveness of the design and operation of our disclosure controls and procedures, as defined in Rule 13a-15(e) of the Exchange Act, as of the end of the period covered by this report. Based on this evaluation, our principal executive officer and principal financial officer concluded that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principal executive officer and principal financial officer, as appropriate to allow timely decisions regarding required disclosure.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Disclosure Controls and Procedures</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of achieving their objectives as specified above. Management does not expect, however,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Disclosure Controls and Procedures and Internal Control Over Financial Reporting</w:t>
      </w:r>
    </w:p>
    <w:p>
      <w:pPr>
        <w:spacing w:after="0" w:line="14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either our disclosure controls and procedures or our internal control over financial reporting that occurred during the quarter ended December 31, 2023, that have materially affected, or are reasonably likely to materially affect, our disclosure controls and procedures or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defined in Rules 13a-15(f) and 15d-15(f) under the Exchange Act.</w:t>
      </w:r>
    </w:p>
    <w:p>
      <w:pPr>
        <w:spacing w:after="0" w:line="18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of internal control over financial reporting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78" w:name="page79"/>
    <w:bookmarkEnd w:id="78"/>
    <w:p>
      <w:pPr>
        <w:ind w:firstLine="648"/>
        <w:spacing w:after="0" w:line="261" w:lineRule="auto"/>
        <w:rPr>
          <w:sz w:val="20"/>
          <w:szCs w:val="20"/>
          <w:color w:val="auto"/>
        </w:rPr>
      </w:pPr>
      <w:r>
        <w:rPr>
          <w:rFonts w:ascii="Times New Roman" w:cs="Times New Roman" w:eastAsia="Times New Roman" w:hAnsi="Times New Roman"/>
          <w:sz w:val="18"/>
          <w:szCs w:val="18"/>
          <w:color w:val="auto"/>
        </w:rPr>
        <w:t>Management has assessed the effectiveness of our internal control over financial reporting as of December 31, 2023. In making our assessment of the effectiveness of internal control over financial reporting, management used the criteria set forth in Internal Control—Integrated Framework (2013) issued by the Committee of Sponsoring Organizations of the Treadway Commission ("COSO"). Based on this assessment, management has concluded that, as of December 31, 2023, our internal control over financial reporting was effective.</w:t>
      </w:r>
    </w:p>
    <w:p>
      <w:pPr>
        <w:spacing w:after="0" w:line="20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internal control over financial reporting is designed to provide reasonable assurance of achieving its objectives as specified above. Management does not expect, however, that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10"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2023 has been audited by KPMG LLP, an independent registered public accounting firm, as stated in their report which is included below.</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79" w:name="page80"/>
    <w:bookmarkEnd w:id="7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Beyond, Inc.:</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6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 xml:space="preserve">We have audited Beyond, Inc. and subsidiaries' (the Company) internal control over financial reporting as of December 31, 2023,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w:t>
      </w:r>
    </w:p>
    <w:p>
      <w:pPr>
        <w:spacing w:after="0" w:line="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operations, comprehensive income (loss), changes in stockholders' equity, and cash flows for each of the years in the three-year period ended December 31, 2023, and the related notes and financial statement schedule II (collectively, the consolidated financial statements), and our report dated February 23, 2024 expressed an unqualified opinion on those consolidated financial statements.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6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 KPMG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80" w:name="page81"/>
    <w:bookmarkEnd w:id="80"/>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4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On October 30, 2023, Barclay F. Corbus, a director of the Company, terminated a trading plan intended to satisfy Rule 10b5-1(c) to sell up to 6,821 shares of Beyond, Inc. common stock between January 22, 2024 and February 5, 2024, subject to certain conditions.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November 6, 2023, Allison H. Abraham, former chairwoman of the board of directors of the Company, terminated a trading plan intended to satisfy Rule 10b5-1(c) to sell up to 5,000 shares of Beyond, Inc. common stock between January 24, 2024 and January 25, 2024, subject to certain conditions.</w:t>
      </w:r>
    </w:p>
    <w:p>
      <w:pPr>
        <w:spacing w:after="0" w:line="3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76" w:right="519" w:bottom="1440" w:gutter="0" w:footer="0" w:header="0"/>
        </w:sectPr>
      </w:pPr>
    </w:p>
    <w:bookmarkStart w:id="81" w:name="page82"/>
    <w:bookmarkEnd w:id="81"/>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4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Information regarding our Executive Officers required by Item 10 of Part III is set forth in Item 1 of Part I under "Business—Executive Officers of the Registrant." Information required by Item 10 of Part III regarding our Board of Directors and any material changes to the process by which security holders may recommend nominees to the Board of Directors will be included in our definitive proxy statement for our 2024 annual meeting of stockholders and is incorporated herein by reference. Information relating to compliance with Section 16(a) of the 1934 Act will be set forth in our definitive proxy statement for our 2024 annual meeting of stockholders and is incorporated herein by reference.</w:t>
      </w:r>
    </w:p>
    <w:p>
      <w:pPr>
        <w:spacing w:after="0" w:line="21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("Code"), which applies to all employees of the Company, including our principal executive officer, principal financial officer, and principal accounting officer. We intend to disclose any amendments to the Code and any waivers granted to our principal executive officer, principal financial officer or principal accounting officer or other persons to the extent required by applicable rules or regulations in the Investor Relations section of our Website, www.beyond.com. We will provide a copy of the Code to any person without any charge upon request in writing addressed to Beyond, Inc. Attn: Investor Relations, 799 West Coliseum Way, Midvale, UT 84047.</w:t>
      </w:r>
    </w:p>
    <w:p>
      <w:pPr>
        <w:spacing w:after="0" w:line="35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the 2024 annual meeting of stockholders.</w:t>
      </w:r>
    </w:p>
    <w:p>
      <w:pPr>
        <w:spacing w:after="0" w:line="38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the 2024 annual meeting of stockholders.</w:t>
      </w:r>
    </w:p>
    <w:p>
      <w:pPr>
        <w:spacing w:after="0" w:line="39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the 2024 annual meeting of stockholders.</w:t>
      </w:r>
    </w:p>
    <w:p>
      <w:pPr>
        <w:spacing w:after="0" w:line="39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independent registered public accounting firm is KPMG LLP, Salt Lake City, Utah, Auditor Firm ID: 185.</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the 2024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82" w:name="page83"/>
    <w:bookmarkEnd w:id="8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The following documents are filed as part of this Annual Report on Form 10-K:</w:t>
      </w:r>
    </w:p>
    <w:p>
      <w:pPr>
        <w:spacing w:after="0" w:line="158" w:lineRule="exact"/>
        <w:rPr>
          <w:sz w:val="20"/>
          <w:szCs w:val="20"/>
          <w:color w:val="auto"/>
        </w:rPr>
      </w:pPr>
    </w:p>
    <w:p>
      <w:pPr>
        <w:ind w:left="920" w:hanging="264"/>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financial statements are filed as part of this Annual Report on Form 10-K under "Item 8. Financial Statements and Supplementary Data."</w:t>
      </w:r>
    </w:p>
    <w:p>
      <w:pPr>
        <w:spacing w:after="0" w:line="154" w:lineRule="exact"/>
        <w:rPr>
          <w:sz w:val="20"/>
          <w:szCs w:val="20"/>
          <w:color w:val="auto"/>
        </w:rPr>
      </w:pPr>
    </w:p>
    <w:p>
      <w:pPr>
        <w:ind w:left="920" w:hanging="264"/>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 Schedules:</w:t>
      </w:r>
    </w:p>
    <w:p>
      <w:pPr>
        <w:spacing w:after="0" w:line="162"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Schedule II Valuation and Qualifying Accounts is provided in "Item 8. Financial Statements and Supplementary Data." Other schedules have been omitted as they are either not required, not applicable, or the information has otherwise been shown in the consolidated financial statements or notes thereto under "Item 8. Financial Statements and Supplementary Data."</w:t>
      </w:r>
    </w:p>
    <w:p>
      <w:pPr>
        <w:spacing w:after="0" w:line="91" w:lineRule="exact"/>
        <w:rPr>
          <w:sz w:val="20"/>
          <w:szCs w:val="20"/>
          <w:color w:val="auto"/>
        </w:rPr>
      </w:pPr>
    </w:p>
    <w:p>
      <w:pPr>
        <w:ind w:left="920" w:hanging="264"/>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exhibits listed under Part (b)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Exhibits</w:t>
      </w:r>
    </w:p>
    <w:p>
      <w:pPr>
        <w:spacing w:after="0" w:line="290"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118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720" w:type="dxa"/>
            <w:vAlign w:val="bottom"/>
          </w:tcPr>
          <w:p>
            <w:pPr>
              <w:spacing w:after="0"/>
              <w:rPr>
                <w:sz w:val="16"/>
                <w:szCs w:val="16"/>
                <w:color w:val="auto"/>
              </w:rPr>
            </w:pPr>
          </w:p>
        </w:tc>
        <w:tc>
          <w:tcPr>
            <w:tcW w:w="2600" w:type="dxa"/>
            <w:vAlign w:val="bottom"/>
            <w:gridSpan w:val="18"/>
          </w:tcPr>
          <w:p>
            <w:pPr>
              <w:ind w:left="2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40" w:type="dxa"/>
            <w:vAlign w:val="bottom"/>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212"/>
        </w:trPr>
        <w:tc>
          <w:tcPr>
            <w:tcW w:w="11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5"/>
              </w:rPr>
              <w:t>2.1*</w:t>
            </w:r>
          </w:p>
        </w:tc>
        <w:tc>
          <w:tcPr>
            <w:tcW w:w="3320" w:type="dxa"/>
            <w:vAlign w:val="bottom"/>
            <w:gridSpan w:val="19"/>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Asset Purchase Agreement, dated June 12,</w:t>
              </w:r>
            </w:hyperlink>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000-49799</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9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June 13, 2023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30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2023, by and among Overstock.com, Inc.,</w:t>
              </w:r>
            </w:hyperlink>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302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Bed Bath &amp; Beyond Inc. and certain</w:t>
              </w:r>
            </w:hyperlink>
          </w:p>
        </w:tc>
        <w:tc>
          <w:tcPr>
            <w:tcW w:w="300" w:type="dxa"/>
            <w:vAlign w:val="bottom"/>
            <w:gridSpan w:val="2"/>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264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subsidiaries of Bed Bath &amp; Beyond</w:t>
              </w:r>
            </w:hyperlink>
          </w:p>
        </w:tc>
        <w:tc>
          <w:tcPr>
            <w:tcW w:w="680" w:type="dxa"/>
            <w:vAlign w:val="bottom"/>
            <w:gridSpan w:val="9"/>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Inc.</w:t>
              </w:r>
            </w:hyperlink>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1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7"/>
              </w:rPr>
              <w:t>3.1</w:t>
            </w:r>
          </w:p>
        </w:tc>
        <w:tc>
          <w:tcPr>
            <w:tcW w:w="2860" w:type="dxa"/>
            <w:vAlign w:val="bottom"/>
            <w:tcBorders>
              <w:top w:val="single" w:sz="8" w:color="0000FF"/>
            </w:tcBorders>
            <w:gridSpan w:val="14"/>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Amended and Restated Certificate of</w:t>
              </w:r>
            </w:hyperlink>
          </w:p>
        </w:tc>
        <w:tc>
          <w:tcPr>
            <w:tcW w:w="460" w:type="dxa"/>
            <w:vAlign w:val="bottom"/>
            <w:gridSpan w:val="5"/>
          </w:tcPr>
          <w:p>
            <w:pPr>
              <w:spacing w:after="0"/>
              <w:rPr>
                <w:sz w:val="22"/>
                <w:szCs w:val="22"/>
                <w:color w:val="auto"/>
              </w:rPr>
            </w:pP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000-49799</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9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8"/>
              </w:rPr>
              <w:t>July 29, 2014</w:t>
            </w: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9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08">
              <w:r>
                <w:rPr>
                  <w:rFonts w:ascii="Times New Roman" w:cs="Times New Roman" w:eastAsia="Times New Roman" w:hAnsi="Times New Roman"/>
                  <w:sz w:val="18"/>
                  <w:szCs w:val="18"/>
                  <w:color w:val="0000FF"/>
                  <w:w w:val="97"/>
                </w:rPr>
                <w:t>Incorporation</w:t>
              </w:r>
            </w:hyperlink>
          </w:p>
        </w:tc>
        <w:tc>
          <w:tcPr>
            <w:tcW w:w="168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7"/>
              </w:rPr>
              <w:t>3.2</w:t>
            </w:r>
          </w:p>
        </w:tc>
        <w:tc>
          <w:tcPr>
            <w:tcW w:w="3320" w:type="dxa"/>
            <w:vAlign w:val="bottom"/>
            <w:gridSpan w:val="19"/>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Certificate of Amendment to Amended</w:t>
              </w:r>
            </w:hyperlink>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000-49799</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9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November 6, 2023</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4"/>
              </w:rPr>
            </w:pPr>
            <w:hyperlink r:id="rId109">
              <w:r>
                <w:rPr>
                  <w:rFonts w:ascii="Times New Roman" w:cs="Times New Roman" w:eastAsia="Times New Roman" w:hAnsi="Times New Roman"/>
                  <w:sz w:val="18"/>
                  <w:szCs w:val="18"/>
                  <w:color w:val="0000FF"/>
                  <w:w w:val="94"/>
                </w:rPr>
                <w:t>and Restated Certificate of Incorporation</w:t>
              </w:r>
            </w:hyperlink>
          </w:p>
        </w:tc>
        <w:tc>
          <w:tcPr>
            <w:tcW w:w="120" w:type="dxa"/>
            <w:vAlign w:val="bottom"/>
            <w:tcBorders>
              <w:bottom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7"/>
              </w:rPr>
              <w:t>3.3</w:t>
            </w:r>
          </w:p>
        </w:tc>
        <w:tc>
          <w:tcPr>
            <w:tcW w:w="27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Third Amended and Restated Bylaws</w:t>
              </w:r>
            </w:hyperlink>
          </w:p>
        </w:tc>
        <w:tc>
          <w:tcPr>
            <w:tcW w:w="620" w:type="dxa"/>
            <w:vAlign w:val="bottom"/>
            <w:gridSpan w:val="7"/>
          </w:tcPr>
          <w:p>
            <w:pPr>
              <w:spacing w:after="0"/>
              <w:rPr>
                <w:sz w:val="24"/>
                <w:szCs w:val="24"/>
                <w:color w:val="auto"/>
              </w:rPr>
            </w:pP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000-49799</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9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November 6, 2023</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1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7"/>
              </w:rPr>
              <w:t>4.1</w:t>
            </w:r>
          </w:p>
        </w:tc>
        <w:tc>
          <w:tcPr>
            <w:tcW w:w="3320" w:type="dxa"/>
            <w:vAlign w:val="bottom"/>
            <w:gridSpan w:val="19"/>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Form of specimen common stock</w:t>
              </w:r>
            </w:hyperlink>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S-1/A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333-83728</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9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May 6, 2002</w:t>
            </w: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7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11">
              <w:r>
                <w:rPr>
                  <w:rFonts w:ascii="Times New Roman" w:cs="Times New Roman" w:eastAsia="Times New Roman" w:hAnsi="Times New Roman"/>
                  <w:sz w:val="18"/>
                  <w:szCs w:val="18"/>
                  <w:color w:val="0000FF"/>
                  <w:w w:val="97"/>
                </w:rPr>
                <w:t>certificate</w:t>
              </w:r>
            </w:hyperlink>
          </w:p>
        </w:tc>
        <w:tc>
          <w:tcPr>
            <w:tcW w:w="1680" w:type="dxa"/>
            <w:vAlign w:val="bottom"/>
            <w:tcBorders>
              <w:top w:val="single" w:sz="8" w:color="0000FF"/>
            </w:tcBorders>
            <w:gridSpan w:val="5"/>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7"/>
          </w:tcPr>
          <w:p>
            <w:pPr>
              <w:spacing w:after="0"/>
              <w:rPr>
                <w:sz w:val="13"/>
                <w:szCs w:val="13"/>
                <w:color w:val="auto"/>
              </w:rPr>
            </w:pPr>
          </w:p>
        </w:tc>
        <w:tc>
          <w:tcPr>
            <w:tcW w:w="34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7"/>
              </w:rPr>
              <w:t>4.2</w:t>
            </w:r>
          </w:p>
        </w:tc>
        <w:tc>
          <w:tcPr>
            <w:tcW w:w="3320" w:type="dxa"/>
            <w:vAlign w:val="bottom"/>
            <w:gridSpan w:val="19"/>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Description of Securities Registered</w:t>
              </w:r>
            </w:hyperlink>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000-49799</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9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February 24, 2023</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26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Under Section 12 of the Securities</w:t>
              </w:r>
            </w:hyperlink>
          </w:p>
        </w:tc>
        <w:tc>
          <w:tcPr>
            <w:tcW w:w="360" w:type="dxa"/>
            <w:vAlign w:val="bottom"/>
            <w:gridSpan w:val="7"/>
          </w:tcPr>
          <w:p>
            <w:pPr>
              <w:spacing w:after="0"/>
              <w:rPr>
                <w:sz w:val="13"/>
                <w:szCs w:val="13"/>
                <w:color w:val="auto"/>
              </w:rPr>
            </w:pPr>
          </w:p>
        </w:tc>
        <w:tc>
          <w:tcPr>
            <w:tcW w:w="34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460" w:type="dxa"/>
            <w:vAlign w:val="bottom"/>
            <w:tcBorders>
              <w:top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Exchange Act of 1934</w:t>
              </w:r>
            </w:hyperlink>
          </w:p>
        </w:tc>
        <w:tc>
          <w:tcPr>
            <w:tcW w:w="140" w:type="dxa"/>
            <w:vAlign w:val="bottom"/>
          </w:tcPr>
          <w:p>
            <w:pPr>
              <w:spacing w:after="0"/>
              <w:rPr>
                <w:sz w:val="14"/>
                <w:szCs w:val="14"/>
                <w:color w:val="auto"/>
              </w:rPr>
            </w:pPr>
          </w:p>
        </w:tc>
        <w:tc>
          <w:tcPr>
            <w:tcW w:w="380" w:type="dxa"/>
            <w:vAlign w:val="bottom"/>
            <w:gridSpan w:val="8"/>
          </w:tcPr>
          <w:p>
            <w:pPr>
              <w:spacing w:after="0"/>
              <w:rPr>
                <w:sz w:val="14"/>
                <w:szCs w:val="14"/>
                <w:color w:val="auto"/>
              </w:rPr>
            </w:pPr>
          </w:p>
        </w:tc>
        <w:tc>
          <w:tcPr>
            <w:tcW w:w="340" w:type="dxa"/>
            <w:vAlign w:val="bottom"/>
            <w:gridSpan w:val="3"/>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jc w:val="center"/>
              <w:ind w:right="72"/>
              <w:spacing w:after="0"/>
              <w:rPr>
                <w:sz w:val="20"/>
                <w:szCs w:val="20"/>
                <w:color w:val="auto"/>
              </w:rPr>
            </w:pPr>
            <w:r>
              <w:rPr>
                <w:rFonts w:ascii="Times New Roman" w:cs="Times New Roman" w:eastAsia="Times New Roman" w:hAnsi="Times New Roman"/>
                <w:sz w:val="18"/>
                <w:szCs w:val="18"/>
                <w:color w:val="auto"/>
                <w:w w:val="94"/>
              </w:rPr>
              <w:t>10.1</w:t>
            </w:r>
            <w:r>
              <w:rPr>
                <w:rFonts w:ascii="Times New Roman" w:cs="Times New Roman" w:eastAsia="Times New Roman" w:hAnsi="Times New Roman"/>
                <w:sz w:val="23"/>
                <w:szCs w:val="23"/>
                <w:color w:val="auto"/>
                <w:w w:val="94"/>
                <w:vertAlign w:val="superscript"/>
              </w:rPr>
              <w:t>(a)</w:t>
            </w:r>
          </w:p>
        </w:tc>
        <w:tc>
          <w:tcPr>
            <w:tcW w:w="102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80" w:type="dxa"/>
            <w:vAlign w:val="bottom"/>
            <w:vMerge w:val="continue"/>
          </w:tcPr>
          <w:p>
            <w:pPr>
              <w:spacing w:after="0"/>
              <w:rPr>
                <w:sz w:val="22"/>
                <w:szCs w:val="22"/>
                <w:color w:val="auto"/>
              </w:rPr>
            </w:pPr>
          </w:p>
        </w:tc>
        <w:tc>
          <w:tcPr>
            <w:tcW w:w="26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Form of Indemnification Agreement</w:t>
              </w:r>
            </w:hyperlink>
          </w:p>
        </w:tc>
        <w:tc>
          <w:tcPr>
            <w:tcW w:w="680" w:type="dxa"/>
            <w:vAlign w:val="bottom"/>
            <w:gridSpan w:val="9"/>
          </w:tcPr>
          <w:p>
            <w:pPr>
              <w:spacing w:after="0"/>
              <w:rPr>
                <w:sz w:val="22"/>
                <w:szCs w:val="22"/>
                <w:color w:val="auto"/>
              </w:rPr>
            </w:pP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000-49799</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March 18, 2019</w:t>
            </w: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3320" w:type="dxa"/>
            <w:vAlign w:val="bottom"/>
            <w:gridSpan w:val="19"/>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between Overstock.com, Inc. and each of</w:t>
              </w:r>
            </w:hyperlink>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74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8"/>
              </w:rPr>
            </w:pPr>
            <w:hyperlink r:id="rId113">
              <w:r>
                <w:rPr>
                  <w:rFonts w:ascii="Times New Roman" w:cs="Times New Roman" w:eastAsia="Times New Roman" w:hAnsi="Times New Roman"/>
                  <w:sz w:val="18"/>
                  <w:szCs w:val="18"/>
                  <w:color w:val="0000FF"/>
                  <w:w w:val="98"/>
                </w:rPr>
                <w:t>its directors and officers</w:t>
              </w:r>
            </w:hyperlink>
          </w:p>
        </w:tc>
        <w:tc>
          <w:tcPr>
            <w:tcW w:w="1240" w:type="dxa"/>
            <w:vAlign w:val="bottom"/>
            <w:tcBorders>
              <w:top w:val="single" w:sz="8" w:color="0000FF"/>
            </w:tcBorders>
            <w:gridSpan w:val="11"/>
          </w:tcPr>
          <w:p>
            <w:pPr>
              <w:spacing w:after="0"/>
              <w:rPr>
                <w:sz w:val="14"/>
                <w:szCs w:val="14"/>
                <w:color w:val="auto"/>
              </w:rPr>
            </w:pPr>
          </w:p>
        </w:tc>
        <w:tc>
          <w:tcPr>
            <w:tcW w:w="340" w:type="dxa"/>
            <w:vAlign w:val="bottom"/>
            <w:gridSpan w:val="3"/>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1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4"/>
              </w:rPr>
              <w:t>10.2</w:t>
            </w:r>
            <w:r>
              <w:rPr>
                <w:rFonts w:ascii="Times New Roman" w:cs="Times New Roman" w:eastAsia="Times New Roman" w:hAnsi="Times New Roman"/>
                <w:sz w:val="23"/>
                <w:szCs w:val="23"/>
                <w:color w:val="auto"/>
                <w:w w:val="94"/>
                <w:vertAlign w:val="superscript"/>
              </w:rPr>
              <w:t>(a)</w:t>
            </w:r>
          </w:p>
        </w:tc>
        <w:tc>
          <w:tcPr>
            <w:tcW w:w="3320" w:type="dxa"/>
            <w:vAlign w:val="bottom"/>
            <w:gridSpan w:val="19"/>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Amended and Restated 2005 Equity</w:t>
              </w:r>
            </w:hyperlink>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000-49799</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May 23, 2023</w:t>
            </w: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260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Incentive Plan</w:t>
              </w:r>
            </w:hyperlink>
          </w:p>
        </w:tc>
        <w:tc>
          <w:tcPr>
            <w:tcW w:w="720" w:type="dxa"/>
            <w:vAlign w:val="bottom"/>
            <w:gridSpan w:val="11"/>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jc w:val="center"/>
              <w:ind w:right="72"/>
              <w:spacing w:after="0"/>
              <w:rPr>
                <w:sz w:val="20"/>
                <w:szCs w:val="20"/>
                <w:color w:val="auto"/>
              </w:rPr>
            </w:pPr>
            <w:r>
              <w:rPr>
                <w:rFonts w:ascii="Times New Roman" w:cs="Times New Roman" w:eastAsia="Times New Roman" w:hAnsi="Times New Roman"/>
                <w:sz w:val="18"/>
                <w:szCs w:val="18"/>
                <w:color w:val="auto"/>
                <w:w w:val="94"/>
              </w:rPr>
              <w:t>10.3</w:t>
            </w:r>
            <w:r>
              <w:rPr>
                <w:rFonts w:ascii="Times New Roman" w:cs="Times New Roman" w:eastAsia="Times New Roman" w:hAnsi="Times New Roman"/>
                <w:sz w:val="23"/>
                <w:szCs w:val="23"/>
                <w:color w:val="auto"/>
                <w:w w:val="94"/>
                <w:vertAlign w:val="superscript"/>
              </w:rPr>
              <w:t>(a)</w:t>
            </w:r>
          </w:p>
        </w:tc>
        <w:tc>
          <w:tcPr>
            <w:tcW w:w="1020" w:type="dxa"/>
            <w:vAlign w:val="bottom"/>
            <w:gridSpan w:val="3"/>
            <w:shd w:val="clear" w:color="auto" w:fill="0000FF"/>
          </w:tcPr>
          <w:p>
            <w:pPr>
              <w:spacing w:after="0" w:line="20" w:lineRule="exact"/>
              <w:rPr>
                <w:sz w:val="1"/>
                <w:szCs w:val="1"/>
                <w:color w:val="auto"/>
              </w:rPr>
            </w:pPr>
          </w:p>
        </w:tc>
        <w:tc>
          <w:tcPr>
            <w:tcW w:w="2300" w:type="dxa"/>
            <w:vAlign w:val="bottom"/>
            <w:gridSpan w:val="1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1180" w:type="dxa"/>
            <w:vAlign w:val="bottom"/>
            <w:vMerge w:val="continue"/>
          </w:tcPr>
          <w:p>
            <w:pPr>
              <w:spacing w:after="0"/>
              <w:rPr>
                <w:sz w:val="24"/>
                <w:szCs w:val="24"/>
                <w:color w:val="auto"/>
              </w:rPr>
            </w:pPr>
          </w:p>
        </w:tc>
        <w:tc>
          <w:tcPr>
            <w:tcW w:w="3320" w:type="dxa"/>
            <w:vAlign w:val="bottom"/>
            <w:gridSpan w:val="19"/>
          </w:tcPr>
          <w:p>
            <w:pPr>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Form of Restricted Stock Unit Grant</w:t>
              </w:r>
            </w:hyperlink>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000-49799</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9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February 21, 2013</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240"/>
        <w:spacing w:after="0" w:line="219" w:lineRule="auto"/>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Notice and Restricted Stock Agreement</w:t>
        </w:r>
      </w:hyperlink>
    </w:p>
    <w:p>
      <w:pPr>
        <w:ind w:left="1240"/>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under the 2005 Equity Incentive Plan</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83" w:name="page84"/>
    <w:bookmarkEnd w:id="83"/>
    <w:p>
      <w:pPr>
        <w:spacing w:after="0"/>
        <w:tabs>
          <w:tab w:leader="none" w:pos="2100" w:val="left"/>
          <w:tab w:leader="none" w:pos="4780" w:val="left"/>
          <w:tab w:leader="none" w:pos="6000" w:val="left"/>
          <w:tab w:leader="none" w:pos="7160" w:val="left"/>
          <w:tab w:leader="none" w:pos="8640" w:val="left"/>
          <w:tab w:leader="none" w:pos="1016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Exhibit Description</w:t>
      </w:r>
      <w:r>
        <w:rPr>
          <w:sz w:val="20"/>
          <w:szCs w:val="20"/>
          <w:color w:val="auto"/>
        </w:rPr>
        <w:tab/>
      </w: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File No.</w:t>
      </w:r>
      <w:r>
        <w:rPr>
          <w:sz w:val="20"/>
          <w:szCs w:val="20"/>
          <w:color w:val="auto"/>
        </w:rPr>
        <w:tab/>
      </w: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Filing Date</w:t>
      </w:r>
      <w:r>
        <w:rPr>
          <w:sz w:val="20"/>
          <w:szCs w:val="20"/>
          <w:color w:val="auto"/>
        </w:rPr>
        <w:tab/>
      </w:r>
      <w:r>
        <w:rPr>
          <w:rFonts w:ascii="Times New Roman" w:cs="Times New Roman" w:eastAsia="Times New Roman" w:hAnsi="Times New Roman"/>
          <w:sz w:val="14"/>
          <w:szCs w:val="14"/>
          <w:b w:val="1"/>
          <w:bCs w:val="1"/>
          <w:color w:val="auto"/>
        </w:rPr>
        <w:t>Filed Herewith</w:t>
      </w:r>
    </w:p>
    <w:p>
      <w:pPr>
        <w:sectPr>
          <w:pgSz w:w="11900" w:h="16838" w:orient="portrait"/>
          <w:cols w:equalWidth="0" w:num="1">
            <w:col w:w="11100"/>
          </w:cols>
          <w:pgMar w:left="380" w:top="965" w:right="419" w:bottom="1440" w:gutter="0" w:footer="0" w:header="0"/>
        </w:sectPr>
      </w:pPr>
    </w:p>
    <w:p>
      <w:pPr>
        <w:spacing w:after="0" w:line="35"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5"/>
              </w:rPr>
              <w:t>10.4</w:t>
            </w:r>
          </w:p>
        </w:tc>
        <w:tc>
          <w:tcPr>
            <w:tcW w:w="3060" w:type="dxa"/>
            <w:vAlign w:val="bottom"/>
            <w:gridSpan w:val="32"/>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Purchase and Sale Agreement dated May</w:t>
              </w:r>
            </w:hyperlink>
          </w:p>
        </w:tc>
        <w:tc>
          <w:tcPr>
            <w:tcW w:w="12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000-49799</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May 7, 2014</w:t>
            </w: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300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5, 2014 between O.Com Land LLC,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2620" w:type="dxa"/>
            <w:vAlign w:val="bottom"/>
            <w:tcBorders>
              <w:top w:val="single" w:sz="8" w:color="0000FF"/>
              <w:bottom w:val="single" w:sz="8" w:color="0000FF"/>
            </w:tcBorders>
            <w:gridSpan w:val="17"/>
          </w:tcPr>
          <w:p>
            <w:pPr>
              <w:spacing w:after="0" w:line="169" w:lineRule="exact"/>
              <w:rPr>
                <w:rFonts w:ascii="Times New Roman" w:cs="Times New Roman" w:eastAsia="Times New Roman" w:hAnsi="Times New Roman"/>
                <w:sz w:val="18"/>
                <w:szCs w:val="18"/>
                <w:color w:val="0000FF"/>
                <w:w w:val="96"/>
              </w:rPr>
            </w:pPr>
            <w:hyperlink r:id="rId117">
              <w:r>
                <w:rPr>
                  <w:rFonts w:ascii="Times New Roman" w:cs="Times New Roman" w:eastAsia="Times New Roman" w:hAnsi="Times New Roman"/>
                  <w:sz w:val="18"/>
                  <w:szCs w:val="18"/>
                  <w:color w:val="0000FF"/>
                  <w:w w:val="96"/>
                </w:rPr>
                <w:t>Gardner Bingham Junction Holdings,</w:t>
              </w:r>
            </w:hyperlink>
          </w:p>
        </w:tc>
        <w:tc>
          <w:tcPr>
            <w:tcW w:w="60" w:type="dxa"/>
            <w:vAlign w:val="bottom"/>
            <w:tcBorders>
              <w:bottom w:val="single" w:sz="8" w:color="0000FF"/>
            </w:tcBorders>
          </w:tcPr>
          <w:p>
            <w:pPr>
              <w:spacing w:after="0"/>
              <w:rPr>
                <w:sz w:val="14"/>
                <w:szCs w:val="14"/>
                <w:color w:val="auto"/>
              </w:rPr>
            </w:pPr>
          </w:p>
        </w:tc>
        <w:tc>
          <w:tcPr>
            <w:tcW w:w="80" w:type="dxa"/>
            <w:vAlign w:val="bottom"/>
            <w:tcBorders>
              <w:bottom w:val="single" w:sz="8" w:color="0000FF"/>
            </w:tcBorders>
          </w:tcPr>
          <w:p>
            <w:pPr>
              <w:spacing w:after="0"/>
              <w:rPr>
                <w:sz w:val="14"/>
                <w:szCs w:val="14"/>
                <w:color w:val="auto"/>
              </w:rPr>
            </w:pPr>
          </w:p>
        </w:tc>
        <w:tc>
          <w:tcPr>
            <w:tcW w:w="300" w:type="dxa"/>
            <w:vAlign w:val="bottom"/>
            <w:tcBorders>
              <w:bottom w:val="single" w:sz="8" w:color="0000FF"/>
            </w:tcBorders>
            <w:gridSpan w:val="13"/>
          </w:tcPr>
          <w:p>
            <w:pPr>
              <w:spacing w:after="0" w:line="169" w:lineRule="exact"/>
              <w:rPr>
                <w:rFonts w:ascii="Times New Roman" w:cs="Times New Roman" w:eastAsia="Times New Roman" w:hAnsi="Times New Roman"/>
                <w:sz w:val="18"/>
                <w:szCs w:val="18"/>
                <w:color w:val="0000FF"/>
                <w:w w:val="87"/>
              </w:rPr>
            </w:pPr>
            <w:hyperlink r:id="rId117">
              <w:r>
                <w:rPr>
                  <w:rFonts w:ascii="Times New Roman" w:cs="Times New Roman" w:eastAsia="Times New Roman" w:hAnsi="Times New Roman"/>
                  <w:sz w:val="18"/>
                  <w:szCs w:val="18"/>
                  <w:color w:val="0000FF"/>
                  <w:w w:val="87"/>
                </w:rPr>
                <w:t>L.C.</w:t>
              </w:r>
            </w:hyperlink>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3060" w:type="dxa"/>
            <w:vAlign w:val="bottom"/>
            <w:gridSpan w:val="32"/>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and Arbor Bingham Junction Holdings,</w:t>
              </w:r>
            </w:hyperlink>
          </w:p>
        </w:tc>
        <w:tc>
          <w:tcPr>
            <w:tcW w:w="1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3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3"/>
              </w:rPr>
            </w:pPr>
            <w:hyperlink r:id="rId117">
              <w:r>
                <w:rPr>
                  <w:rFonts w:ascii="Times New Roman" w:cs="Times New Roman" w:eastAsia="Times New Roman" w:hAnsi="Times New Roman"/>
                  <w:sz w:val="18"/>
                  <w:szCs w:val="18"/>
                  <w:color w:val="0000FF"/>
                  <w:w w:val="93"/>
                </w:rPr>
                <w:t>L.C.</w:t>
              </w:r>
            </w:hyperlink>
          </w:p>
        </w:tc>
        <w:tc>
          <w:tcPr>
            <w:tcW w:w="252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5"/>
              </w:rPr>
              <w:t>10.5</w:t>
            </w:r>
          </w:p>
        </w:tc>
        <w:tc>
          <w:tcPr>
            <w:tcW w:w="3060" w:type="dxa"/>
            <w:vAlign w:val="bottom"/>
            <w:gridSpan w:val="32"/>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First Amendment dated July 29, 2014 to</w:t>
              </w:r>
            </w:hyperlink>
          </w:p>
        </w:tc>
        <w:tc>
          <w:tcPr>
            <w:tcW w:w="12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000-49799</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August 6, 2014</w:t>
            </w: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29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w w:val="97"/>
              </w:rPr>
            </w:pPr>
            <w:hyperlink r:id="rId118">
              <w:r>
                <w:rPr>
                  <w:rFonts w:ascii="Times New Roman" w:cs="Times New Roman" w:eastAsia="Times New Roman" w:hAnsi="Times New Roman"/>
                  <w:sz w:val="18"/>
                  <w:szCs w:val="18"/>
                  <w:color w:val="0000FF"/>
                  <w:w w:val="97"/>
                </w:rPr>
                <w:t>Purchase and Sale Agreement dated May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00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5, 2014 between O.Com Land LLC,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262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6"/>
              </w:rPr>
            </w:pPr>
            <w:hyperlink r:id="rId118">
              <w:r>
                <w:rPr>
                  <w:rFonts w:ascii="Times New Roman" w:cs="Times New Roman" w:eastAsia="Times New Roman" w:hAnsi="Times New Roman"/>
                  <w:sz w:val="18"/>
                  <w:szCs w:val="18"/>
                  <w:color w:val="0000FF"/>
                  <w:w w:val="96"/>
                </w:rPr>
                <w:t>Gardner Bingham Junction Holdings,</w:t>
              </w:r>
            </w:hyperlink>
          </w:p>
        </w:tc>
        <w:tc>
          <w:tcPr>
            <w:tcW w:w="6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tcPr>
          <w:p>
            <w:pPr>
              <w:spacing w:after="0"/>
              <w:rPr>
                <w:sz w:val="13"/>
                <w:szCs w:val="13"/>
                <w:color w:val="auto"/>
              </w:rPr>
            </w:pPr>
          </w:p>
        </w:tc>
        <w:tc>
          <w:tcPr>
            <w:tcW w:w="300" w:type="dxa"/>
            <w:vAlign w:val="bottom"/>
            <w:tcBorders>
              <w:bottom w:val="single" w:sz="8" w:color="0000FF"/>
            </w:tcBorders>
            <w:gridSpan w:val="13"/>
          </w:tcPr>
          <w:p>
            <w:pPr>
              <w:spacing w:after="0" w:line="156" w:lineRule="exact"/>
              <w:rPr>
                <w:rFonts w:ascii="Times New Roman" w:cs="Times New Roman" w:eastAsia="Times New Roman" w:hAnsi="Times New Roman"/>
                <w:sz w:val="18"/>
                <w:szCs w:val="18"/>
                <w:color w:val="0000FF"/>
                <w:w w:val="87"/>
              </w:rPr>
            </w:pPr>
            <w:hyperlink r:id="rId118">
              <w:r>
                <w:rPr>
                  <w:rFonts w:ascii="Times New Roman" w:cs="Times New Roman" w:eastAsia="Times New Roman" w:hAnsi="Times New Roman"/>
                  <w:sz w:val="18"/>
                  <w:szCs w:val="18"/>
                  <w:color w:val="0000FF"/>
                  <w:w w:val="87"/>
                </w:rPr>
                <w:t>L.C.</w:t>
              </w:r>
            </w:hyperlink>
          </w:p>
        </w:tc>
        <w:tc>
          <w:tcPr>
            <w:tcW w:w="1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3060" w:type="dxa"/>
            <w:vAlign w:val="bottom"/>
            <w:gridSpan w:val="32"/>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and Arbor Bingham Junction Holdings,</w:t>
              </w:r>
            </w:hyperlink>
          </w:p>
        </w:tc>
        <w:tc>
          <w:tcPr>
            <w:tcW w:w="1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3"/>
              </w:rPr>
            </w:pPr>
            <w:hyperlink r:id="rId118">
              <w:r>
                <w:rPr>
                  <w:rFonts w:ascii="Times New Roman" w:cs="Times New Roman" w:eastAsia="Times New Roman" w:hAnsi="Times New Roman"/>
                  <w:sz w:val="18"/>
                  <w:szCs w:val="18"/>
                  <w:color w:val="0000FF"/>
                  <w:w w:val="93"/>
                </w:rPr>
                <w:t>L.C.</w:t>
              </w:r>
            </w:hyperlink>
          </w:p>
        </w:tc>
        <w:tc>
          <w:tcPr>
            <w:tcW w:w="2520" w:type="dxa"/>
            <w:vAlign w:val="bottom"/>
            <w:tcBorders>
              <w:top w:val="single" w:sz="8" w:color="0000FF"/>
            </w:tcBorders>
            <w:gridSpan w:val="1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5"/>
              </w:rPr>
              <w:t>10.6</w:t>
            </w:r>
          </w:p>
        </w:tc>
        <w:tc>
          <w:tcPr>
            <w:tcW w:w="3060" w:type="dxa"/>
            <w:vAlign w:val="bottom"/>
            <w:gridSpan w:val="32"/>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Second Amendment dated September 3,</w:t>
              </w:r>
            </w:hyperlink>
          </w:p>
        </w:tc>
        <w:tc>
          <w:tcPr>
            <w:tcW w:w="12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000-49799</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September 8, 2014</w:t>
            </w: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276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2014 to Purchase and Sale Agreement</w:t>
              </w:r>
            </w:hyperlink>
          </w:p>
        </w:tc>
        <w:tc>
          <w:tcPr>
            <w:tcW w:w="140" w:type="dxa"/>
            <w:vAlign w:val="bottom"/>
            <w:tcBorders>
              <w:top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060" w:type="dxa"/>
            <w:vAlign w:val="bottom"/>
            <w:gridSpan w:val="32"/>
          </w:tcPr>
          <w:p>
            <w:pPr>
              <w:spacing w:after="0" w:line="16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dated May 5, 2014 between O.Com Land</w:t>
              </w:r>
            </w:hyperlink>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23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LLC, Gardner Bingham Junction</w:t>
              </w:r>
            </w:hyperlink>
          </w:p>
        </w:tc>
        <w:tc>
          <w:tcPr>
            <w:tcW w:w="64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3060" w:type="dxa"/>
            <w:vAlign w:val="bottom"/>
            <w:gridSpan w:val="32"/>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Holdings, L.C. and Arbor Bingham</w:t>
              </w:r>
            </w:hyperlink>
          </w:p>
        </w:tc>
        <w:tc>
          <w:tcPr>
            <w:tcW w:w="1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7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8"/>
              </w:rPr>
            </w:pPr>
            <w:hyperlink r:id="rId119">
              <w:r>
                <w:rPr>
                  <w:rFonts w:ascii="Times New Roman" w:cs="Times New Roman" w:eastAsia="Times New Roman" w:hAnsi="Times New Roman"/>
                  <w:sz w:val="18"/>
                  <w:szCs w:val="18"/>
                  <w:color w:val="0000FF"/>
                  <w:w w:val="98"/>
                </w:rPr>
                <w:t>Junction Holdings, L.C.</w:t>
              </w:r>
            </w:hyperlink>
          </w:p>
        </w:tc>
        <w:tc>
          <w:tcPr>
            <w:tcW w:w="84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5"/>
              </w:rPr>
              <w:t>10.7</w:t>
            </w:r>
          </w:p>
        </w:tc>
        <w:tc>
          <w:tcPr>
            <w:tcW w:w="3060" w:type="dxa"/>
            <w:vAlign w:val="bottom"/>
            <w:gridSpan w:val="32"/>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Project Management Agreement dated</w:t>
              </w:r>
            </w:hyperlink>
          </w:p>
        </w:tc>
        <w:tc>
          <w:tcPr>
            <w:tcW w:w="12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000-49799</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May 7, 2014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0" w:type="dxa"/>
            <w:vAlign w:val="bottom"/>
          </w:tcPr>
          <w:p>
            <w:pPr>
              <w:spacing w:after="0"/>
              <w:rPr>
                <w:sz w:val="13"/>
                <w:szCs w:val="13"/>
                <w:color w:val="auto"/>
              </w:rPr>
            </w:pPr>
          </w:p>
        </w:tc>
        <w:tc>
          <w:tcPr>
            <w:tcW w:w="3060" w:type="dxa"/>
            <w:vAlign w:val="bottom"/>
            <w:gridSpan w:val="32"/>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May 5, 2014 between O.Com Land LLC</w:t>
              </w:r>
            </w:hyperlink>
          </w:p>
        </w:tc>
        <w:tc>
          <w:tcPr>
            <w:tcW w:w="1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296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and Gardner CMS, L.C.</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5"/>
              </w:rPr>
              <w:t>10.8</w:t>
            </w:r>
          </w:p>
        </w:tc>
        <w:tc>
          <w:tcPr>
            <w:tcW w:w="3060" w:type="dxa"/>
            <w:vAlign w:val="bottom"/>
            <w:gridSpan w:val="32"/>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Purchase and Sale Agreement dated</w:t>
              </w:r>
            </w:hyperlink>
          </w:p>
        </w:tc>
        <w:tc>
          <w:tcPr>
            <w:tcW w:w="12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000-49799</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September 23, 2014</w:t>
            </w: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26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w w:val="98"/>
              </w:rPr>
            </w:pPr>
            <w:hyperlink r:id="rId121">
              <w:r>
                <w:rPr>
                  <w:rFonts w:ascii="Times New Roman" w:cs="Times New Roman" w:eastAsia="Times New Roman" w:hAnsi="Times New Roman"/>
                  <w:sz w:val="18"/>
                  <w:szCs w:val="18"/>
                  <w:color w:val="0000FF"/>
                  <w:w w:val="98"/>
                </w:rPr>
                <w:t>September 17, 2014 by and between</w:t>
              </w:r>
            </w:hyperlink>
          </w:p>
        </w:tc>
        <w:tc>
          <w:tcPr>
            <w:tcW w:w="460" w:type="dxa"/>
            <w:vAlign w:val="bottom"/>
            <w:gridSpan w:val="16"/>
          </w:tcPr>
          <w:p>
            <w:pPr>
              <w:jc w:val="center"/>
              <w:ind w:right="120"/>
              <w:spacing w:after="0" w:line="15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the</w:t>
              </w:r>
            </w:hyperlink>
          </w:p>
        </w:tc>
        <w:tc>
          <w:tcPr>
            <w:tcW w:w="1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2880" w:type="dxa"/>
            <w:vAlign w:val="bottom"/>
            <w:tcBorders>
              <w:top w:val="single" w:sz="8" w:color="0000FF"/>
              <w:bottom w:val="single" w:sz="8" w:color="0000FF"/>
            </w:tcBorders>
            <w:gridSpan w:val="23"/>
          </w:tcPr>
          <w:p>
            <w:pPr>
              <w:spacing w:after="0" w:line="169" w:lineRule="exact"/>
              <w:rPr>
                <w:rFonts w:ascii="Times New Roman" w:cs="Times New Roman" w:eastAsia="Times New Roman" w:hAnsi="Times New Roman"/>
                <w:sz w:val="18"/>
                <w:szCs w:val="18"/>
                <w:color w:val="0000FF"/>
                <w:w w:val="97"/>
              </w:rPr>
            </w:pPr>
            <w:hyperlink r:id="rId121">
              <w:r>
                <w:rPr>
                  <w:rFonts w:ascii="Times New Roman" w:cs="Times New Roman" w:eastAsia="Times New Roman" w:hAnsi="Times New Roman"/>
                  <w:sz w:val="18"/>
                  <w:szCs w:val="18"/>
                  <w:color w:val="0000FF"/>
                  <w:w w:val="97"/>
                </w:rPr>
                <w:t>Redevelopment Agency of Midvale City</w:t>
              </w:r>
            </w:hyperlink>
          </w:p>
        </w:tc>
        <w:tc>
          <w:tcPr>
            <w:tcW w:w="60" w:type="dxa"/>
            <w:vAlign w:val="bottom"/>
            <w:tcBorders>
              <w:bottom w:val="single" w:sz="8" w:color="0000FF"/>
            </w:tcBorders>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2940" w:type="dxa"/>
            <w:vAlign w:val="bottom"/>
            <w:gridSpan w:val="26"/>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and O.com Land LLC</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5"/>
              </w:rPr>
              <w:t>10.9</w:t>
            </w:r>
          </w:p>
        </w:tc>
        <w:tc>
          <w:tcPr>
            <w:tcW w:w="3060" w:type="dxa"/>
            <w:vAlign w:val="bottom"/>
            <w:gridSpan w:val="32"/>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Lease Agreement dated October 24, 2014</w:t>
              </w:r>
            </w:hyperlink>
          </w:p>
        </w:tc>
        <w:tc>
          <w:tcPr>
            <w:tcW w:w="12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000-49799</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October 28, 2014</w:t>
            </w: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30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between O.com Land, LLC and</w:t>
              </w:r>
            </w:hyperlink>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2280" w:type="dxa"/>
            <w:vAlign w:val="bottom"/>
            <w:tcBorders>
              <w:top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Overstock.com Inc.</w:t>
              </w:r>
            </w:hyperlink>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80" w:type="dxa"/>
            <w:vAlign w:val="bottom"/>
            <w:gridSpan w:val="4"/>
          </w:tcPr>
          <w:p>
            <w:pPr>
              <w:spacing w:after="0"/>
              <w:rPr>
                <w:sz w:val="14"/>
                <w:szCs w:val="14"/>
                <w:color w:val="auto"/>
              </w:rPr>
            </w:pP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10.10</w:t>
            </w:r>
            <w:r>
              <w:rPr>
                <w:rFonts w:ascii="Times New Roman" w:cs="Times New Roman" w:eastAsia="Times New Roman" w:hAnsi="Times New Roman"/>
                <w:sz w:val="23"/>
                <w:szCs w:val="23"/>
                <w:color w:val="auto"/>
                <w:vertAlign w:val="superscript"/>
              </w:rPr>
              <w:t>(a)</w:t>
            </w:r>
          </w:p>
        </w:tc>
        <w:tc>
          <w:tcPr>
            <w:tcW w:w="2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40" w:type="dxa"/>
            <w:vAlign w:val="bottom"/>
            <w:vMerge w:val="continue"/>
          </w:tcPr>
          <w:p>
            <w:pPr>
              <w:spacing w:after="0"/>
              <w:rPr>
                <w:sz w:val="22"/>
                <w:szCs w:val="22"/>
                <w:color w:val="auto"/>
              </w:rPr>
            </w:pPr>
          </w:p>
        </w:tc>
        <w:tc>
          <w:tcPr>
            <w:tcW w:w="3060" w:type="dxa"/>
            <w:vAlign w:val="bottom"/>
            <w:gridSpan w:val="32"/>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Summary of Unwritten Compensation</w:t>
              </w:r>
            </w:hyperlink>
          </w:p>
        </w:tc>
        <w:tc>
          <w:tcPr>
            <w:tcW w:w="12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000-49799</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March 13, 2020</w:t>
            </w: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24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Arrangements Applicable to Non-</w:t>
              </w:r>
            </w:hyperlink>
          </w:p>
        </w:tc>
        <w:tc>
          <w:tcPr>
            <w:tcW w:w="300" w:type="dxa"/>
            <w:vAlign w:val="bottom"/>
            <w:tcBorders>
              <w:top w:val="single" w:sz="8" w:color="0000FF"/>
            </w:tcBorders>
            <w:gridSpan w:val="9"/>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1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060" w:type="dxa"/>
            <w:vAlign w:val="bottom"/>
            <w:gridSpan w:val="32"/>
          </w:tcPr>
          <w:p>
            <w:pPr>
              <w:spacing w:after="0" w:line="16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Employee Directors of Overstock.com,</w:t>
              </w:r>
            </w:hyperlink>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28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Inc.</w:t>
              </w:r>
            </w:hyperlink>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1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10.11</w:t>
            </w:r>
          </w:p>
        </w:tc>
        <w:tc>
          <w:tcPr>
            <w:tcW w:w="3060" w:type="dxa"/>
            <w:vAlign w:val="bottom"/>
            <w:gridSpan w:val="32"/>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Amended and Restated Capital on</w:t>
              </w:r>
            </w:hyperlink>
          </w:p>
        </w:tc>
        <w:tc>
          <w:tcPr>
            <w:tcW w:w="12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000-49799</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June 29, 2020</w:t>
            </w: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24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7"/>
              </w:rPr>
            </w:pPr>
            <w:hyperlink r:id="rId124">
              <w:r>
                <w:rPr>
                  <w:rFonts w:ascii="Times New Roman" w:cs="Times New Roman" w:eastAsia="Times New Roman" w:hAnsi="Times New Roman"/>
                  <w:sz w:val="18"/>
                  <w:szCs w:val="18"/>
                  <w:color w:val="0000FF"/>
                  <w:w w:val="97"/>
                </w:rPr>
                <w:t>DemandTM Sales Agreement with</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19"/>
            <w:vMerge w:val="restart"/>
          </w:tcPr>
          <w:p>
            <w:pPr>
              <w:jc w:val="center"/>
              <w:ind w:right="60"/>
              <w:spacing w:after="0"/>
              <w:rPr>
                <w:rFonts w:ascii="Times New Roman" w:cs="Times New Roman" w:eastAsia="Times New Roman" w:hAnsi="Times New Roman"/>
                <w:sz w:val="18"/>
                <w:szCs w:val="18"/>
                <w:color w:val="0000FF"/>
                <w:w w:val="98"/>
              </w:rPr>
            </w:pPr>
            <w:hyperlink r:id="rId124">
              <w:r>
                <w:rPr>
                  <w:rFonts w:ascii="Times New Roman" w:cs="Times New Roman" w:eastAsia="Times New Roman" w:hAnsi="Times New Roman"/>
                  <w:sz w:val="18"/>
                  <w:szCs w:val="18"/>
                  <w:color w:val="0000FF"/>
                  <w:w w:val="98"/>
                </w:rPr>
                <w:t>LLC,</w:t>
              </w:r>
            </w:hyperlink>
          </w:p>
        </w:tc>
        <w:tc>
          <w:tcPr>
            <w:tcW w:w="1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2500" w:type="dxa"/>
            <w:vAlign w:val="bottom"/>
            <w:gridSpan w:val="12"/>
          </w:tcPr>
          <w:p>
            <w:pPr>
              <w:spacing w:after="0" w:line="169" w:lineRule="exact"/>
              <w:rPr>
                <w:rFonts w:ascii="Times New Roman" w:cs="Times New Roman" w:eastAsia="Times New Roman" w:hAnsi="Times New Roman"/>
                <w:sz w:val="18"/>
                <w:szCs w:val="18"/>
                <w:color w:val="0000FF"/>
                <w:w w:val="97"/>
              </w:rPr>
            </w:pPr>
            <w:hyperlink r:id="rId124">
              <w:r>
                <w:rPr>
                  <w:rFonts w:ascii="Times New Roman" w:cs="Times New Roman" w:eastAsia="Times New Roman" w:hAnsi="Times New Roman"/>
                  <w:sz w:val="18"/>
                  <w:szCs w:val="18"/>
                  <w:color w:val="0000FF"/>
                  <w:w w:val="97"/>
                </w:rPr>
                <w:t>JonesTrading Institutional Services</w:t>
              </w:r>
            </w:hyperlink>
          </w:p>
        </w:tc>
        <w:tc>
          <w:tcPr>
            <w:tcW w:w="40" w:type="dxa"/>
            <w:vAlign w:val="bottom"/>
          </w:tcPr>
          <w:p>
            <w:pPr>
              <w:spacing w:after="0"/>
              <w:rPr>
                <w:sz w:val="14"/>
                <w:szCs w:val="14"/>
                <w:color w:val="auto"/>
              </w:rPr>
            </w:pPr>
          </w:p>
        </w:tc>
        <w:tc>
          <w:tcPr>
            <w:tcW w:w="520" w:type="dxa"/>
            <w:vAlign w:val="bottom"/>
            <w:gridSpan w:val="19"/>
            <w:vMerge w:val="continue"/>
          </w:tcPr>
          <w:p>
            <w:pPr>
              <w:spacing w:after="0"/>
              <w:rPr>
                <w:sz w:val="14"/>
                <w:szCs w:val="14"/>
                <w:color w:val="auto"/>
              </w:rPr>
            </w:pP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29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as agent, dated June 26, 2020</w:t>
              </w:r>
            </w:hyperlink>
          </w:p>
        </w:tc>
        <w:tc>
          <w:tcPr>
            <w:tcW w:w="80" w:type="dxa"/>
            <w:vAlign w:val="bottom"/>
            <w:gridSpan w:val="4"/>
          </w:tcPr>
          <w:p>
            <w:pPr>
              <w:spacing w:after="0"/>
              <w:rPr>
                <w:sz w:val="13"/>
                <w:szCs w:val="13"/>
                <w:color w:val="auto"/>
              </w:rPr>
            </w:pPr>
          </w:p>
        </w:tc>
        <w:tc>
          <w:tcPr>
            <w:tcW w:w="1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100" w:type="dxa"/>
            <w:vAlign w:val="bottom"/>
            <w:gridSpan w:val="6"/>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10.12</w:t>
            </w:r>
          </w:p>
        </w:tc>
        <w:tc>
          <w:tcPr>
            <w:tcW w:w="3060" w:type="dxa"/>
            <w:vAlign w:val="bottom"/>
            <w:gridSpan w:val="32"/>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Loan Agreement by and between Peace</w:t>
              </w:r>
            </w:hyperlink>
          </w:p>
        </w:tc>
        <w:tc>
          <w:tcPr>
            <w:tcW w:w="12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000-49799</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March 12, 2020</w:t>
            </w: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24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8"/>
              </w:rPr>
            </w:pPr>
            <w:hyperlink r:id="rId125">
              <w:r>
                <w:rPr>
                  <w:rFonts w:ascii="Times New Roman" w:cs="Times New Roman" w:eastAsia="Times New Roman" w:hAnsi="Times New Roman"/>
                  <w:sz w:val="18"/>
                  <w:szCs w:val="18"/>
                  <w:color w:val="0000FF"/>
                  <w:w w:val="98"/>
                </w:rPr>
                <w:t>Coliseum, LLC, as Borrower, and</w:t>
              </w:r>
            </w:hyperlink>
          </w:p>
        </w:tc>
        <w:tc>
          <w:tcPr>
            <w:tcW w:w="420" w:type="dxa"/>
            <w:vAlign w:val="bottom"/>
            <w:tcBorders>
              <w:top w:val="single" w:sz="8" w:color="0000FF"/>
            </w:tcBorders>
            <w:gridSpan w:val="13"/>
          </w:tcPr>
          <w:p>
            <w:pPr>
              <w:spacing w:after="0"/>
              <w:rPr>
                <w:sz w:val="13"/>
                <w:szCs w:val="13"/>
                <w:color w:val="auto"/>
              </w:rPr>
            </w:pPr>
          </w:p>
        </w:tc>
        <w:tc>
          <w:tcPr>
            <w:tcW w:w="200" w:type="dxa"/>
            <w:vAlign w:val="bottom"/>
            <w:gridSpan w:val="10"/>
          </w:tcPr>
          <w:p>
            <w:pPr>
              <w:spacing w:after="0"/>
              <w:rPr>
                <w:sz w:val="13"/>
                <w:szCs w:val="13"/>
                <w:color w:val="auto"/>
              </w:rPr>
            </w:pPr>
          </w:p>
        </w:tc>
        <w:tc>
          <w:tcPr>
            <w:tcW w:w="1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060" w:type="dxa"/>
            <w:vAlign w:val="bottom"/>
            <w:gridSpan w:val="32"/>
          </w:tcPr>
          <w:p>
            <w:pPr>
              <w:spacing w:after="0" w:line="16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LoanCore Capital Markets LLC, as</w:t>
              </w:r>
            </w:hyperlink>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24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Lender, dated as of March 6, 2020</w:t>
              </w:r>
            </w:hyperlink>
          </w:p>
        </w:tc>
        <w:tc>
          <w:tcPr>
            <w:tcW w:w="60" w:type="dxa"/>
            <w:vAlign w:val="bottom"/>
            <w:tcBorders>
              <w:top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380" w:type="dxa"/>
            <w:vAlign w:val="bottom"/>
            <w:gridSpan w:val="14"/>
          </w:tcPr>
          <w:p>
            <w:pPr>
              <w:spacing w:after="0"/>
              <w:rPr>
                <w:sz w:val="13"/>
                <w:szCs w:val="13"/>
                <w:color w:val="auto"/>
              </w:rPr>
            </w:pPr>
          </w:p>
        </w:tc>
        <w:tc>
          <w:tcPr>
            <w:tcW w:w="1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10.13</w:t>
            </w:r>
          </w:p>
        </w:tc>
        <w:tc>
          <w:tcPr>
            <w:tcW w:w="3060" w:type="dxa"/>
            <w:vAlign w:val="bottom"/>
            <w:gridSpan w:val="32"/>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Mezzanine Loan Agreement by and</w:t>
              </w:r>
            </w:hyperlink>
          </w:p>
        </w:tc>
        <w:tc>
          <w:tcPr>
            <w:tcW w:w="12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000-49799</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March 12, 2020</w:t>
            </w: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5"/>
              </w:rPr>
            </w:pPr>
            <w:hyperlink r:id="rId126">
              <w:r>
                <w:rPr>
                  <w:rFonts w:ascii="Times New Roman" w:cs="Times New Roman" w:eastAsia="Times New Roman" w:hAnsi="Times New Roman"/>
                  <w:sz w:val="18"/>
                  <w:szCs w:val="18"/>
                  <w:color w:val="0000FF"/>
                  <w:w w:val="95"/>
                </w:rPr>
                <w:t>between Peace Coliseum Mezzanine,</w:t>
              </w:r>
            </w:hyperlink>
          </w:p>
        </w:tc>
        <w:tc>
          <w:tcPr>
            <w:tcW w:w="100" w:type="dxa"/>
            <w:vAlign w:val="bottom"/>
            <w:tcBorders>
              <w:bottom w:val="single" w:sz="8" w:color="0000FF"/>
            </w:tcBorders>
            <w:gridSpan w:val="3"/>
          </w:tcPr>
          <w:p>
            <w:pPr>
              <w:spacing w:after="0"/>
              <w:rPr>
                <w:sz w:val="13"/>
                <w:szCs w:val="13"/>
                <w:color w:val="auto"/>
              </w:rPr>
            </w:pPr>
          </w:p>
        </w:tc>
        <w:tc>
          <w:tcPr>
            <w:tcW w:w="380" w:type="dxa"/>
            <w:vAlign w:val="bottom"/>
            <w:gridSpan w:val="14"/>
          </w:tcPr>
          <w:p>
            <w:pPr>
              <w:spacing w:after="0"/>
              <w:rPr>
                <w:sz w:val="13"/>
                <w:szCs w:val="13"/>
                <w:color w:val="auto"/>
              </w:rPr>
            </w:pPr>
          </w:p>
        </w:tc>
        <w:tc>
          <w:tcPr>
            <w:tcW w:w="1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180"/>
        <w:spacing w:after="0" w:line="205" w:lineRule="auto"/>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LLC, as Borrower, and LoanCore Capital</w:t>
        </w:r>
      </w:hyperlink>
    </w:p>
    <w:p>
      <w:pPr>
        <w:ind w:left="1180"/>
        <w:spacing w:after="0" w:line="203" w:lineRule="auto"/>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Markets LLC, as Lender, dated as of</w:t>
        </w:r>
      </w:hyperlink>
    </w:p>
    <w:p>
      <w:pPr>
        <w:spacing w:after="0" w:line="1" w:lineRule="exact"/>
        <w:rPr>
          <w:sz w:val="20"/>
          <w:szCs w:val="20"/>
          <w:color w:val="auto"/>
        </w:rPr>
      </w:pPr>
    </w:p>
    <w:p>
      <w:pPr>
        <w:ind w:left="1180"/>
        <w:spacing w:after="0"/>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March 6, 2020</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80" w:top="965" w:right="419" w:bottom="1440" w:gutter="0" w:footer="0" w:header="0"/>
          <w:type w:val="continuous"/>
        </w:sectPr>
      </w:pPr>
    </w:p>
    <w:bookmarkStart w:id="84" w:name="page85"/>
    <w:bookmarkEnd w:id="84"/>
    <w:p>
      <w:pPr>
        <w:spacing w:after="0"/>
        <w:tabs>
          <w:tab w:leader="none" w:pos="2100" w:val="left"/>
          <w:tab w:leader="none" w:pos="4780" w:val="left"/>
          <w:tab w:leader="none" w:pos="5980" w:val="left"/>
          <w:tab w:leader="none" w:pos="7160" w:val="left"/>
          <w:tab w:leader="none" w:pos="8640" w:val="left"/>
          <w:tab w:leader="none" w:pos="1016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Exhibit Description</w:t>
      </w:r>
      <w:r>
        <w:rPr>
          <w:sz w:val="20"/>
          <w:szCs w:val="20"/>
          <w:color w:val="auto"/>
        </w:rPr>
        <w:tab/>
      </w: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File No.</w:t>
      </w:r>
      <w:r>
        <w:rPr>
          <w:sz w:val="20"/>
          <w:szCs w:val="20"/>
          <w:color w:val="auto"/>
        </w:rPr>
        <w:tab/>
      </w: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Filing Date</w:t>
      </w:r>
      <w:r>
        <w:rPr>
          <w:sz w:val="20"/>
          <w:szCs w:val="20"/>
          <w:color w:val="auto"/>
        </w:rPr>
        <w:tab/>
      </w:r>
      <w:r>
        <w:rPr>
          <w:rFonts w:ascii="Times New Roman" w:cs="Times New Roman" w:eastAsia="Times New Roman" w:hAnsi="Times New Roman"/>
          <w:sz w:val="14"/>
          <w:szCs w:val="14"/>
          <w:b w:val="1"/>
          <w:bCs w:val="1"/>
          <w:color w:val="auto"/>
        </w:rPr>
        <w:t>Filed Herewith</w:t>
      </w:r>
    </w:p>
    <w:p>
      <w:pPr>
        <w:sectPr>
          <w:pgSz w:w="11900" w:h="16838" w:orient="portrait"/>
          <w:cols w:equalWidth="0" w:num="1">
            <w:col w:w="11100"/>
          </w:cols>
          <w:pgMar w:left="380" w:top="965" w:right="419" w:bottom="1440" w:gutter="0" w:footer="0" w:header="0"/>
        </w:sectPr>
      </w:pPr>
    </w:p>
    <w:p>
      <w:pPr>
        <w:spacing w:after="0" w:line="35"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10.14</w:t>
            </w:r>
          </w:p>
        </w:tc>
        <w:tc>
          <w:tcPr>
            <w:tcW w:w="3080" w:type="dxa"/>
            <w:vAlign w:val="bottom"/>
            <w:gridSpan w:val="34"/>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Guaranty of Recourse Obligations made</w:t>
              </w:r>
            </w:hyperlink>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000-49799</w:t>
            </w: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10.3</w:t>
            </w:r>
          </w:p>
        </w:tc>
        <w:tc>
          <w:tcPr>
            <w:tcW w:w="26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March 12, 2020</w:t>
            </w: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w w:val="98"/>
              </w:rPr>
            </w:pPr>
            <w:hyperlink r:id="rId128">
              <w:r>
                <w:rPr>
                  <w:rFonts w:ascii="Times New Roman" w:cs="Times New Roman" w:eastAsia="Times New Roman" w:hAnsi="Times New Roman"/>
                  <w:sz w:val="18"/>
                  <w:szCs w:val="18"/>
                  <w:color w:val="0000FF"/>
                  <w:w w:val="98"/>
                </w:rPr>
                <w:t>by Overstock.com, Inc., as Guarantor, in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2940" w:type="dxa"/>
            <w:vAlign w:val="bottom"/>
            <w:tcBorders>
              <w:bottom w:val="single" w:sz="8" w:color="0000FF"/>
            </w:tcBorders>
            <w:gridSpan w:val="27"/>
          </w:tcPr>
          <w:p>
            <w:pPr>
              <w:spacing w:after="0" w:line="169" w:lineRule="exact"/>
              <w:rPr>
                <w:rFonts w:ascii="Times New Roman" w:cs="Times New Roman" w:eastAsia="Times New Roman" w:hAnsi="Times New Roman"/>
                <w:sz w:val="18"/>
                <w:szCs w:val="18"/>
                <w:color w:val="0000FF"/>
                <w:w w:val="98"/>
              </w:rPr>
            </w:pPr>
            <w:hyperlink r:id="rId128">
              <w:r>
                <w:rPr>
                  <w:rFonts w:ascii="Times New Roman" w:cs="Times New Roman" w:eastAsia="Times New Roman" w:hAnsi="Times New Roman"/>
                  <w:sz w:val="18"/>
                  <w:szCs w:val="18"/>
                  <w:color w:val="0000FF"/>
                  <w:w w:val="98"/>
                </w:rPr>
                <w:t>favor of LoanCore Capital Markets LLC,</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880" w:type="dxa"/>
            <w:vAlign w:val="bottom"/>
            <w:tcBorders>
              <w:bottom w:val="single" w:sz="8" w:color="0000FF"/>
            </w:tcBorders>
            <w:gridSpan w:val="9"/>
          </w:tcPr>
          <w:p>
            <w:pPr>
              <w:spacing w:after="0" w:line="156" w:lineRule="exact"/>
              <w:rPr>
                <w:rFonts w:ascii="Times New Roman" w:cs="Times New Roman" w:eastAsia="Times New Roman" w:hAnsi="Times New Roman"/>
                <w:sz w:val="18"/>
                <w:szCs w:val="18"/>
                <w:color w:val="0000FF"/>
                <w:w w:val="98"/>
              </w:rPr>
            </w:pPr>
            <w:hyperlink r:id="rId128">
              <w:r>
                <w:rPr>
                  <w:rFonts w:ascii="Times New Roman" w:cs="Times New Roman" w:eastAsia="Times New Roman" w:hAnsi="Times New Roman"/>
                  <w:sz w:val="18"/>
                  <w:szCs w:val="18"/>
                  <w:color w:val="0000FF"/>
                  <w:w w:val="98"/>
                </w:rPr>
                <w:t>dated as of March 6, 2020</w:t>
              </w:r>
            </w:hyperlink>
          </w:p>
        </w:tc>
        <w:tc>
          <w:tcPr>
            <w:tcW w:w="1100" w:type="dxa"/>
            <w:vAlign w:val="bottom"/>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10.15</w:t>
            </w:r>
          </w:p>
        </w:tc>
        <w:tc>
          <w:tcPr>
            <w:tcW w:w="3080" w:type="dxa"/>
            <w:vAlign w:val="bottom"/>
            <w:gridSpan w:val="34"/>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Mezzanine Guaranty of Recourse</w:t>
              </w:r>
            </w:hyperlink>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000-49799</w:t>
            </w: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10.4</w:t>
            </w:r>
          </w:p>
        </w:tc>
        <w:tc>
          <w:tcPr>
            <w:tcW w:w="26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March 12, 2020</w:t>
            </w: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240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88"/>
              </w:rPr>
            </w:pPr>
            <w:hyperlink r:id="rId129">
              <w:r>
                <w:rPr>
                  <w:rFonts w:ascii="Times New Roman" w:cs="Times New Roman" w:eastAsia="Times New Roman" w:hAnsi="Times New Roman"/>
                  <w:sz w:val="18"/>
                  <w:szCs w:val="18"/>
                  <w:color w:val="0000FF"/>
                  <w:w w:val="88"/>
                </w:rPr>
                <w:t>Obligations made by Overstock.com,</w:t>
              </w:r>
            </w:hyperlink>
          </w:p>
        </w:tc>
        <w:tc>
          <w:tcPr>
            <w:tcW w:w="1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0" w:type="dxa"/>
            <w:vAlign w:val="bottom"/>
            <w:tcBorders>
              <w:bottom w:val="single" w:sz="8" w:color="0000FF"/>
            </w:tcBorders>
            <w:gridSpan w:val="15"/>
          </w:tcPr>
          <w:p>
            <w:pPr>
              <w:ind w:left="40"/>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Inc.,</w:t>
              </w:r>
            </w:hyperlink>
          </w:p>
        </w:tc>
        <w:tc>
          <w:tcPr>
            <w:tcW w:w="1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080" w:type="dxa"/>
            <w:vAlign w:val="bottom"/>
            <w:gridSpan w:val="34"/>
          </w:tcPr>
          <w:p>
            <w:pPr>
              <w:spacing w:after="0" w:line="16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as Guarantor, in favor of LoanCore</w:t>
              </w:r>
            </w:hyperlink>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25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Capital Markets LLC, dated as of</w:t>
              </w:r>
            </w:hyperlink>
          </w:p>
        </w:tc>
        <w:tc>
          <w:tcPr>
            <w:tcW w:w="560" w:type="dxa"/>
            <w:vAlign w:val="bottom"/>
            <w:gridSpan w:val="20"/>
          </w:tcPr>
          <w:p>
            <w:pPr>
              <w:jc w:val="center"/>
              <w:ind w:right="160"/>
              <w:spacing w:after="0" w:line="156" w:lineRule="exact"/>
              <w:rPr>
                <w:rFonts w:ascii="Times New Roman" w:cs="Times New Roman" w:eastAsia="Times New Roman" w:hAnsi="Times New Roman"/>
                <w:sz w:val="18"/>
                <w:szCs w:val="18"/>
                <w:color w:val="0000FF"/>
                <w:w w:val="85"/>
              </w:rPr>
            </w:pPr>
            <w:hyperlink r:id="rId129">
              <w:r>
                <w:rPr>
                  <w:rFonts w:ascii="Times New Roman" w:cs="Times New Roman" w:eastAsia="Times New Roman" w:hAnsi="Times New Roman"/>
                  <w:sz w:val="18"/>
                  <w:szCs w:val="18"/>
                  <w:color w:val="0000FF"/>
                  <w:w w:val="85"/>
                </w:rPr>
                <w:t>March</w:t>
              </w:r>
            </w:hyperlink>
          </w:p>
        </w:tc>
        <w:tc>
          <w:tcPr>
            <w:tcW w:w="1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5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6"/>
              </w:rPr>
            </w:pPr>
            <w:hyperlink r:id="rId129">
              <w:r>
                <w:rPr>
                  <w:rFonts w:ascii="Times New Roman" w:cs="Times New Roman" w:eastAsia="Times New Roman" w:hAnsi="Times New Roman"/>
                  <w:sz w:val="18"/>
                  <w:szCs w:val="18"/>
                  <w:color w:val="0000FF"/>
                  <w:w w:val="96"/>
                </w:rPr>
                <w:t>6, 2020</w:t>
              </w:r>
            </w:hyperlink>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10.16</w:t>
            </w:r>
            <w:r>
              <w:rPr>
                <w:rFonts w:ascii="Times New Roman" w:cs="Times New Roman" w:eastAsia="Times New Roman" w:hAnsi="Times New Roman"/>
                <w:sz w:val="23"/>
                <w:szCs w:val="23"/>
                <w:color w:val="auto"/>
                <w:vertAlign w:val="superscript"/>
              </w:rPr>
              <w:t>(a)</w:t>
            </w:r>
          </w:p>
        </w:tc>
        <w:tc>
          <w:tcPr>
            <w:tcW w:w="22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8"/>
              </w:rPr>
            </w:pPr>
            <w:hyperlink r:id="rId130">
              <w:r>
                <w:rPr>
                  <w:rFonts w:ascii="Times New Roman" w:cs="Times New Roman" w:eastAsia="Times New Roman" w:hAnsi="Times New Roman"/>
                  <w:sz w:val="18"/>
                  <w:szCs w:val="18"/>
                  <w:color w:val="0000FF"/>
                  <w:w w:val="98"/>
                </w:rPr>
                <w:t>Key Employee Severance Plan</w:t>
              </w:r>
            </w:hyperlink>
          </w:p>
        </w:tc>
        <w:tc>
          <w:tcPr>
            <w:tcW w:w="860" w:type="dxa"/>
            <w:vAlign w:val="bottom"/>
            <w:gridSpan w:val="23"/>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000-49799</w:t>
            </w: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w:t>
            </w:r>
          </w:p>
        </w:tc>
        <w:tc>
          <w:tcPr>
            <w:tcW w:w="26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March 24, 2023</w:t>
            </w:r>
          </w:p>
        </w:tc>
        <w:tc>
          <w:tcPr>
            <w:tcW w:w="0" w:type="dxa"/>
            <w:vAlign w:val="bottom"/>
          </w:tcPr>
          <w:p>
            <w:pPr>
              <w:spacing w:after="0"/>
              <w:rPr>
                <w:sz w:val="1"/>
                <w:szCs w:val="1"/>
                <w:color w:val="auto"/>
              </w:rPr>
            </w:pPr>
          </w:p>
        </w:tc>
      </w:tr>
      <w:tr>
        <w:trPr>
          <w:trHeight w:val="263"/>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10.17</w:t>
            </w:r>
          </w:p>
        </w:tc>
        <w:tc>
          <w:tcPr>
            <w:tcW w:w="3080" w:type="dxa"/>
            <w:vAlign w:val="bottom"/>
            <w:gridSpan w:val="34"/>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Transaction Agreement, dated as of</w:t>
              </w:r>
            </w:hyperlink>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000-49799</w:t>
            </w: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w:t>
            </w:r>
          </w:p>
        </w:tc>
        <w:tc>
          <w:tcPr>
            <w:tcW w:w="26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January 25, 2021</w:t>
            </w: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8"/>
              </w:rPr>
            </w:pPr>
            <w:hyperlink r:id="rId131">
              <w:r>
                <w:rPr>
                  <w:rFonts w:ascii="Times New Roman" w:cs="Times New Roman" w:eastAsia="Times New Roman" w:hAnsi="Times New Roman"/>
                  <w:sz w:val="18"/>
                  <w:szCs w:val="18"/>
                  <w:color w:val="0000FF"/>
                  <w:w w:val="98"/>
                </w:rPr>
                <w:t>January 25, 2021, by and among</w:t>
              </w:r>
            </w:hyperlink>
          </w:p>
        </w:tc>
        <w:tc>
          <w:tcPr>
            <w:tcW w:w="220" w:type="dxa"/>
            <w:vAlign w:val="bottom"/>
            <w:tcBorders>
              <w:top w:val="single" w:sz="8" w:color="0000FF"/>
            </w:tcBorders>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080" w:type="dxa"/>
            <w:vAlign w:val="bottom"/>
            <w:gridSpan w:val="34"/>
          </w:tcPr>
          <w:p>
            <w:pPr>
              <w:spacing w:after="0" w:line="16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Overstock.com, Inc., Medici Ventures,</w:t>
              </w:r>
            </w:hyperlink>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278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6"/>
              </w:rPr>
            </w:pPr>
            <w:hyperlink r:id="rId131">
              <w:r>
                <w:rPr>
                  <w:rFonts w:ascii="Times New Roman" w:cs="Times New Roman" w:eastAsia="Times New Roman" w:hAnsi="Times New Roman"/>
                  <w:sz w:val="18"/>
                  <w:szCs w:val="18"/>
                  <w:color w:val="0000FF"/>
                  <w:w w:val="96"/>
                </w:rPr>
                <w:t>Inc., Pelion MV GP, L.L.C. and Pelion,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2840" w:type="dxa"/>
            <w:vAlign w:val="bottom"/>
            <w:gridSpan w:val="23"/>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Inc., as guarantor</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10.18</w:t>
            </w:r>
          </w:p>
        </w:tc>
        <w:tc>
          <w:tcPr>
            <w:tcW w:w="3080" w:type="dxa"/>
            <w:vAlign w:val="bottom"/>
            <w:gridSpan w:val="34"/>
          </w:tcPr>
          <w:p>
            <w:pPr>
              <w:spacing w:after="0"/>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Medici Ventures, L.P. Limited Partnership</w:t>
              </w:r>
            </w:hyperlink>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000-49799</w:t>
            </w: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w:t>
            </w:r>
          </w:p>
        </w:tc>
        <w:tc>
          <w:tcPr>
            <w:tcW w:w="26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April 26, 2021</w:t>
            </w: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304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Agreement, dated as of April 23,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0" w:type="dxa"/>
            <w:vAlign w:val="bottom"/>
          </w:tcPr>
          <w:p>
            <w:pPr>
              <w:spacing w:after="0"/>
              <w:rPr>
                <w:sz w:val="14"/>
                <w:szCs w:val="14"/>
                <w:color w:val="auto"/>
              </w:rPr>
            </w:pPr>
          </w:p>
        </w:tc>
        <w:tc>
          <w:tcPr>
            <w:tcW w:w="3080" w:type="dxa"/>
            <w:vAlign w:val="bottom"/>
            <w:gridSpan w:val="34"/>
          </w:tcPr>
          <w:p>
            <w:pPr>
              <w:spacing w:after="0" w:line="16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between Overstock.com, Inc., and Pelion</w:t>
              </w:r>
            </w:hyperlink>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296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MV GP, L.L.C.</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10.19</w:t>
            </w:r>
          </w:p>
        </w:tc>
        <w:tc>
          <w:tcPr>
            <w:tcW w:w="3080" w:type="dxa"/>
            <w:vAlign w:val="bottom"/>
            <w:gridSpan w:val="34"/>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First Amendment, dated August 30, 2021,</w:t>
              </w:r>
            </w:hyperlink>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000-49799</w:t>
            </w: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w:t>
            </w:r>
          </w:p>
        </w:tc>
        <w:tc>
          <w:tcPr>
            <w:tcW w:w="26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November 4, 2021</w:t>
            </w: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302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to the Medici Ventures, L.P. Limited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2620" w:type="dxa"/>
            <w:vAlign w:val="bottom"/>
            <w:tcBorders>
              <w:top w:val="single" w:sz="8" w:color="0000FF"/>
              <w:bottom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Partnership Agreement, dated April</w:t>
              </w:r>
            </w:hyperlink>
          </w:p>
        </w:tc>
        <w:tc>
          <w:tcPr>
            <w:tcW w:w="240" w:type="dxa"/>
            <w:vAlign w:val="bottom"/>
            <w:tcBorders>
              <w:bottom w:val="single" w:sz="8" w:color="0000FF"/>
            </w:tcBorders>
            <w:gridSpan w:val="8"/>
          </w:tcPr>
          <w:p>
            <w:pPr>
              <w:jc w:val="center"/>
              <w:spacing w:after="0" w:line="169" w:lineRule="exact"/>
              <w:rPr>
                <w:rFonts w:ascii="Times New Roman" w:cs="Times New Roman" w:eastAsia="Times New Roman" w:hAnsi="Times New Roman"/>
                <w:sz w:val="18"/>
                <w:szCs w:val="18"/>
                <w:color w:val="0000FF"/>
                <w:w w:val="88"/>
              </w:rPr>
            </w:pPr>
            <w:hyperlink r:id="rId133">
              <w:r>
                <w:rPr>
                  <w:rFonts w:ascii="Times New Roman" w:cs="Times New Roman" w:eastAsia="Times New Roman" w:hAnsi="Times New Roman"/>
                  <w:sz w:val="18"/>
                  <w:szCs w:val="18"/>
                  <w:color w:val="0000FF"/>
                  <w:w w:val="88"/>
                </w:rPr>
                <w:t>23,</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3080" w:type="dxa"/>
            <w:vAlign w:val="bottom"/>
            <w:gridSpan w:val="34"/>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2021, between Overstock.com, Inc., and</w:t>
              </w:r>
            </w:hyperlink>
          </w:p>
        </w:tc>
        <w:tc>
          <w:tcPr>
            <w:tcW w:w="1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29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Pelion MV GP, L.L.C.</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10.20</w:t>
            </w:r>
            <w:r>
              <w:rPr>
                <w:rFonts w:ascii="Times New Roman" w:cs="Times New Roman" w:eastAsia="Times New Roman" w:hAnsi="Times New Roman"/>
                <w:sz w:val="23"/>
                <w:szCs w:val="23"/>
                <w:color w:val="auto"/>
                <w:vertAlign w:val="superscript"/>
              </w:rPr>
              <w:t>(a)</w:t>
            </w: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vMerge w:val="continue"/>
          </w:tcPr>
          <w:p>
            <w:pPr>
              <w:spacing w:after="0"/>
              <w:rPr>
                <w:sz w:val="24"/>
                <w:szCs w:val="24"/>
                <w:color w:val="auto"/>
              </w:rPr>
            </w:pPr>
          </w:p>
        </w:tc>
        <w:tc>
          <w:tcPr>
            <w:tcW w:w="26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2021 Employee Stock Purchase Plan</w:t>
              </w:r>
            </w:hyperlink>
          </w:p>
        </w:tc>
        <w:tc>
          <w:tcPr>
            <w:tcW w:w="400" w:type="dxa"/>
            <w:vAlign w:val="bottom"/>
            <w:gridSpan w:val="15"/>
          </w:tcPr>
          <w:p>
            <w:pPr>
              <w:spacing w:after="0"/>
              <w:rPr>
                <w:sz w:val="24"/>
                <w:szCs w:val="24"/>
                <w:color w:val="auto"/>
              </w:rPr>
            </w:pPr>
          </w:p>
        </w:tc>
        <w:tc>
          <w:tcPr>
            <w:tcW w:w="13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DEF 14A</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000-49799</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Annex A</w:t>
            </w:r>
          </w:p>
        </w:tc>
        <w:tc>
          <w:tcPr>
            <w:tcW w:w="26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March 25, 2021</w:t>
            </w:r>
          </w:p>
        </w:tc>
        <w:tc>
          <w:tcPr>
            <w:tcW w:w="0" w:type="dxa"/>
            <w:vAlign w:val="bottom"/>
          </w:tcPr>
          <w:p>
            <w:pPr>
              <w:spacing w:after="0"/>
              <w:rPr>
                <w:sz w:val="1"/>
                <w:szCs w:val="1"/>
                <w:color w:val="auto"/>
              </w:rPr>
            </w:pPr>
          </w:p>
        </w:tc>
      </w:tr>
      <w:tr>
        <w:trPr>
          <w:trHeight w:val="26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10.21</w:t>
            </w:r>
            <w:r>
              <w:rPr>
                <w:rFonts w:ascii="Times New Roman" w:cs="Times New Roman" w:eastAsia="Times New Roman" w:hAnsi="Times New Roman"/>
                <w:sz w:val="23"/>
                <w:szCs w:val="23"/>
                <w:color w:val="auto"/>
                <w:vertAlign w:val="superscript"/>
              </w:rPr>
              <w:t>(a)</w:t>
            </w:r>
          </w:p>
        </w:tc>
        <w:tc>
          <w:tcPr>
            <w:tcW w:w="3080" w:type="dxa"/>
            <w:vAlign w:val="bottom"/>
            <w:gridSpan w:val="34"/>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Severance and Release Agreement, dated</w:t>
              </w:r>
            </w:hyperlink>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000-49799</w:t>
            </w: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w:t>
            </w:r>
          </w:p>
        </w:tc>
        <w:tc>
          <w:tcPr>
            <w:tcW w:w="26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November 6, 2023</w:t>
            </w: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300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November 5, 2023, with Jonathan 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8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7"/>
              </w:rPr>
            </w:pPr>
            <w:hyperlink r:id="rId135">
              <w:r>
                <w:rPr>
                  <w:rFonts w:ascii="Times New Roman" w:cs="Times New Roman" w:eastAsia="Times New Roman" w:hAnsi="Times New Roman"/>
                  <w:sz w:val="18"/>
                  <w:szCs w:val="18"/>
                  <w:color w:val="0000FF"/>
                  <w:w w:val="97"/>
                </w:rPr>
                <w:t>Johnson, III</w:t>
              </w:r>
            </w:hyperlink>
          </w:p>
        </w:tc>
        <w:tc>
          <w:tcPr>
            <w:tcW w:w="1800" w:type="dxa"/>
            <w:vAlign w:val="bottom"/>
            <w:tcBorders>
              <w:top w:val="single" w:sz="8" w:color="0000FF"/>
            </w:tcBorders>
            <w:gridSpan w:val="14"/>
          </w:tcPr>
          <w:p>
            <w:pPr>
              <w:spacing w:after="0"/>
              <w:rPr>
                <w:sz w:val="14"/>
                <w:szCs w:val="14"/>
                <w:color w:val="auto"/>
              </w:rPr>
            </w:pPr>
          </w:p>
        </w:tc>
        <w:tc>
          <w:tcPr>
            <w:tcW w:w="160" w:type="dxa"/>
            <w:vAlign w:val="bottom"/>
            <w:gridSpan w:val="4"/>
          </w:tcPr>
          <w:p>
            <w:pPr>
              <w:spacing w:after="0"/>
              <w:rPr>
                <w:sz w:val="14"/>
                <w:szCs w:val="14"/>
                <w:color w:val="auto"/>
              </w:rPr>
            </w:pPr>
          </w:p>
        </w:tc>
        <w:tc>
          <w:tcPr>
            <w:tcW w:w="120" w:type="dxa"/>
            <w:vAlign w:val="bottom"/>
            <w:gridSpan w:val="5"/>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21</w:t>
            </w:r>
          </w:p>
        </w:tc>
        <w:tc>
          <w:tcPr>
            <w:tcW w:w="21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Subsidiaries of the Registrant</w:t>
            </w:r>
          </w:p>
        </w:tc>
        <w:tc>
          <w:tcPr>
            <w:tcW w:w="960" w:type="dxa"/>
            <w:vAlign w:val="bottom"/>
            <w:gridSpan w:val="24"/>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60" w:type="dxa"/>
            <w:vAlign w:val="bottom"/>
          </w:tcPr>
          <w:p>
            <w:pPr>
              <w:ind w:left="254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64"/>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5"/>
              </w:rPr>
              <w:t>23.1</w:t>
            </w:r>
          </w:p>
        </w:tc>
        <w:tc>
          <w:tcPr>
            <w:tcW w:w="308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w:t>
            </w: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60" w:type="dxa"/>
            <w:vAlign w:val="bottom"/>
          </w:tcPr>
          <w:p>
            <w:pPr>
              <w:ind w:left="254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3060" w:type="dxa"/>
            <w:vAlign w:val="bottom"/>
            <w:tcBorders>
              <w:top w:val="single" w:sz="8" w:color="0000FF"/>
            </w:tcBorders>
            <w:gridSpan w:val="33"/>
          </w:tcPr>
          <w:p>
            <w:pPr>
              <w:spacing w:after="0" w:line="156" w:lineRule="exact"/>
              <w:rPr>
                <w:sz w:val="20"/>
                <w:szCs w:val="20"/>
                <w:color w:val="auto"/>
              </w:rPr>
            </w:pPr>
            <w:r>
              <w:rPr>
                <w:rFonts w:ascii="Times New Roman" w:cs="Times New Roman" w:eastAsia="Times New Roman" w:hAnsi="Times New Roman"/>
                <w:sz w:val="18"/>
                <w:szCs w:val="18"/>
                <w:color w:val="0000FF"/>
              </w:rPr>
              <w:t>Accounting Firm</w:t>
            </w: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20" w:type="dxa"/>
            <w:vAlign w:val="bottom"/>
            <w:gridSpan w:val="10"/>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5"/>
              </w:rPr>
              <w:t>23.2</w:t>
            </w:r>
          </w:p>
        </w:tc>
        <w:tc>
          <w:tcPr>
            <w:tcW w:w="30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Consent of KPMG related to Exhibit 99.1</w:t>
              </w:r>
            </w:hyperlink>
          </w:p>
        </w:tc>
        <w:tc>
          <w:tcPr>
            <w:tcW w:w="60" w:type="dxa"/>
            <w:vAlign w:val="bottom"/>
            <w:gridSpan w:val="3"/>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10-K/A</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000-49799</w:t>
            </w: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23.2</w:t>
            </w:r>
          </w:p>
        </w:tc>
        <w:tc>
          <w:tcPr>
            <w:tcW w:w="26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July 3, 2023</w:t>
            </w:r>
          </w:p>
        </w:tc>
        <w:tc>
          <w:tcPr>
            <w:tcW w:w="0" w:type="dxa"/>
            <w:vAlign w:val="bottom"/>
          </w:tcPr>
          <w:p>
            <w:pPr>
              <w:spacing w:after="0"/>
              <w:rPr>
                <w:sz w:val="1"/>
                <w:szCs w:val="1"/>
                <w:color w:val="auto"/>
              </w:rPr>
            </w:pPr>
          </w:p>
        </w:tc>
      </w:tr>
      <w:tr>
        <w:trPr>
          <w:trHeight w:val="264"/>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5"/>
              </w:rPr>
              <w:t>23.3</w:t>
            </w:r>
          </w:p>
        </w:tc>
        <w:tc>
          <w:tcPr>
            <w:tcW w:w="3080" w:type="dxa"/>
            <w:vAlign w:val="bottom"/>
            <w:gridSpan w:val="34"/>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Consent of Ernst &amp; Young related to</w:t>
              </w:r>
            </w:hyperlink>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10-K/A</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000-49799</w:t>
            </w: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23.3</w:t>
            </w:r>
          </w:p>
        </w:tc>
        <w:tc>
          <w:tcPr>
            <w:tcW w:w="26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July 3, 2023</w:t>
            </w: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26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Exhibit 99.2</w:t>
              </w:r>
            </w:hyperlink>
          </w:p>
        </w:tc>
        <w:tc>
          <w:tcPr>
            <w:tcW w:w="180" w:type="dxa"/>
            <w:vAlign w:val="bottom"/>
            <w:gridSpan w:val="5"/>
          </w:tcPr>
          <w:p>
            <w:pPr>
              <w:spacing w:after="0"/>
              <w:rPr>
                <w:sz w:val="13"/>
                <w:szCs w:val="13"/>
                <w:color w:val="auto"/>
              </w:rPr>
            </w:pPr>
          </w:p>
        </w:tc>
        <w:tc>
          <w:tcPr>
            <w:tcW w:w="120" w:type="dxa"/>
            <w:vAlign w:val="bottom"/>
            <w:gridSpan w:val="5"/>
          </w:tcPr>
          <w:p>
            <w:pPr>
              <w:spacing w:after="0"/>
              <w:rPr>
                <w:sz w:val="13"/>
                <w:szCs w:val="13"/>
                <w:color w:val="auto"/>
              </w:rPr>
            </w:pPr>
          </w:p>
        </w:tc>
        <w:tc>
          <w:tcPr>
            <w:tcW w:w="140" w:type="dxa"/>
            <w:vAlign w:val="bottom"/>
            <w:gridSpan w:val="7"/>
          </w:tcPr>
          <w:p>
            <w:pPr>
              <w:spacing w:after="0"/>
              <w:rPr>
                <w:sz w:val="13"/>
                <w:szCs w:val="13"/>
                <w:color w:val="auto"/>
              </w:rPr>
            </w:pPr>
          </w:p>
        </w:tc>
        <w:tc>
          <w:tcPr>
            <w:tcW w:w="1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940" w:type="dxa"/>
            <w:vAlign w:val="bottom"/>
            <w:gridSpan w:val="17"/>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5"/>
              </w:rPr>
              <w:t>23.4</w:t>
            </w:r>
          </w:p>
        </w:tc>
        <w:tc>
          <w:tcPr>
            <w:tcW w:w="308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Consent of Ernst &amp; Young related to</w:t>
            </w: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60" w:type="dxa"/>
            <w:vAlign w:val="bottom"/>
          </w:tcPr>
          <w:p>
            <w:pPr>
              <w:ind w:left="254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264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Exhibit 99.3</w:t>
            </w:r>
          </w:p>
        </w:tc>
        <w:tc>
          <w:tcPr>
            <w:tcW w:w="180" w:type="dxa"/>
            <w:vAlign w:val="bottom"/>
            <w:gridSpan w:val="5"/>
          </w:tcPr>
          <w:p>
            <w:pPr>
              <w:spacing w:after="0"/>
              <w:rPr>
                <w:sz w:val="13"/>
                <w:szCs w:val="13"/>
                <w:color w:val="auto"/>
              </w:rPr>
            </w:pPr>
          </w:p>
        </w:tc>
        <w:tc>
          <w:tcPr>
            <w:tcW w:w="120" w:type="dxa"/>
            <w:vAlign w:val="bottom"/>
            <w:gridSpan w:val="5"/>
          </w:tcPr>
          <w:p>
            <w:pPr>
              <w:spacing w:after="0"/>
              <w:rPr>
                <w:sz w:val="13"/>
                <w:szCs w:val="13"/>
                <w:color w:val="auto"/>
              </w:rPr>
            </w:pPr>
          </w:p>
        </w:tc>
        <w:tc>
          <w:tcPr>
            <w:tcW w:w="140" w:type="dxa"/>
            <w:vAlign w:val="bottom"/>
            <w:gridSpan w:val="7"/>
          </w:tcPr>
          <w:p>
            <w:pPr>
              <w:spacing w:after="0"/>
              <w:rPr>
                <w:sz w:val="13"/>
                <w:szCs w:val="13"/>
                <w:color w:val="auto"/>
              </w:rPr>
            </w:pPr>
          </w:p>
        </w:tc>
        <w:tc>
          <w:tcPr>
            <w:tcW w:w="1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940" w:type="dxa"/>
            <w:vAlign w:val="bottom"/>
            <w:gridSpan w:val="17"/>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5"/>
              </w:rPr>
              <w:t>23.5</w:t>
            </w:r>
          </w:p>
        </w:tc>
        <w:tc>
          <w:tcPr>
            <w:tcW w:w="3080" w:type="dxa"/>
            <w:vAlign w:val="bottom"/>
            <w:gridSpan w:val="34"/>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Consent of Baker Tilly related to Exhibit</w:t>
              </w:r>
            </w:hyperlink>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10-K/A</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000-49799</w:t>
            </w: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23.4</w:t>
            </w:r>
          </w:p>
        </w:tc>
        <w:tc>
          <w:tcPr>
            <w:tcW w:w="26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July 3, 2023</w:t>
            </w: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3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88"/>
              </w:rPr>
            </w:pPr>
            <w:hyperlink r:id="rId138">
              <w:r>
                <w:rPr>
                  <w:rFonts w:ascii="Times New Roman" w:cs="Times New Roman" w:eastAsia="Times New Roman" w:hAnsi="Times New Roman"/>
                  <w:sz w:val="18"/>
                  <w:szCs w:val="18"/>
                  <w:color w:val="0000FF"/>
                  <w:w w:val="88"/>
                </w:rPr>
                <w:t>99.</w:t>
              </w:r>
              <w:r>
                <w:rPr>
                  <w:rFonts w:ascii="Times New Roman" w:cs="Times New Roman" w:eastAsia="Times New Roman" w:hAnsi="Times New Roman"/>
                  <w:sz w:val="18"/>
                  <w:szCs w:val="18"/>
                  <w:u w:val="single" w:color="auto"/>
                  <w:color w:val="0000FF"/>
                  <w:w w:val="88"/>
                </w:rPr>
                <w:t>4</w:t>
              </w:r>
            </w:hyperlink>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24</w:t>
            </w:r>
          </w:p>
        </w:tc>
        <w:tc>
          <w:tcPr>
            <w:tcW w:w="308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Powers of Attorney (see signature page)</w:t>
            </w: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60" w:type="dxa"/>
            <w:vAlign w:val="bottom"/>
          </w:tcPr>
          <w:p>
            <w:pPr>
              <w:ind w:left="254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43"/>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5"/>
              </w:rPr>
              <w:t>31.1</w:t>
            </w:r>
          </w:p>
        </w:tc>
        <w:tc>
          <w:tcPr>
            <w:tcW w:w="308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Certification of Co-Principal Executive</w:t>
            </w:r>
          </w:p>
        </w:tc>
        <w:tc>
          <w:tcPr>
            <w:tcW w:w="1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60" w:type="dxa"/>
            <w:vAlign w:val="bottom"/>
          </w:tcPr>
          <w:p>
            <w:pPr>
              <w:ind w:left="254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52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6"/>
              </w:rPr>
              <w:t>Officer</w:t>
            </w:r>
          </w:p>
        </w:tc>
        <w:tc>
          <w:tcPr>
            <w:tcW w:w="2300" w:type="dxa"/>
            <w:vAlign w:val="bottom"/>
            <w:tcBorders>
              <w:top w:val="single" w:sz="8" w:color="0000FF"/>
            </w:tcBorders>
            <w:gridSpan w:val="20"/>
          </w:tcPr>
          <w:p>
            <w:pPr>
              <w:spacing w:after="0"/>
              <w:rPr>
                <w:sz w:val="13"/>
                <w:szCs w:val="13"/>
                <w:color w:val="auto"/>
              </w:rPr>
            </w:pPr>
          </w:p>
        </w:tc>
        <w:tc>
          <w:tcPr>
            <w:tcW w:w="260" w:type="dxa"/>
            <w:vAlign w:val="bottom"/>
            <w:gridSpan w:val="12"/>
          </w:tcPr>
          <w:p>
            <w:pPr>
              <w:spacing w:after="0"/>
              <w:rPr>
                <w:sz w:val="13"/>
                <w:szCs w:val="13"/>
                <w:color w:val="auto"/>
              </w:rPr>
            </w:pPr>
          </w:p>
        </w:tc>
        <w:tc>
          <w:tcPr>
            <w:tcW w:w="1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5"/>
              </w:rPr>
              <w:t>31.2</w:t>
            </w:r>
          </w:p>
        </w:tc>
        <w:tc>
          <w:tcPr>
            <w:tcW w:w="308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Certification of Co-Principal Executive</w:t>
            </w: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60" w:type="dxa"/>
            <w:vAlign w:val="bottom"/>
          </w:tcPr>
          <w:p>
            <w:pPr>
              <w:ind w:left="254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52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6"/>
              </w:rPr>
              <w:t>Officer</w:t>
            </w:r>
          </w:p>
        </w:tc>
        <w:tc>
          <w:tcPr>
            <w:tcW w:w="2300" w:type="dxa"/>
            <w:vAlign w:val="bottom"/>
            <w:tcBorders>
              <w:top w:val="single" w:sz="8" w:color="0000FF"/>
            </w:tcBorders>
            <w:gridSpan w:val="20"/>
          </w:tcPr>
          <w:p>
            <w:pPr>
              <w:spacing w:after="0"/>
              <w:rPr>
                <w:sz w:val="13"/>
                <w:szCs w:val="13"/>
                <w:color w:val="auto"/>
              </w:rPr>
            </w:pPr>
          </w:p>
        </w:tc>
        <w:tc>
          <w:tcPr>
            <w:tcW w:w="260" w:type="dxa"/>
            <w:vAlign w:val="bottom"/>
            <w:gridSpan w:val="12"/>
          </w:tcPr>
          <w:p>
            <w:pPr>
              <w:spacing w:after="0"/>
              <w:rPr>
                <w:sz w:val="13"/>
                <w:szCs w:val="13"/>
                <w:color w:val="auto"/>
              </w:rPr>
            </w:pPr>
          </w:p>
        </w:tc>
        <w:tc>
          <w:tcPr>
            <w:tcW w:w="1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80" w:top="965" w:right="419" w:bottom="1440" w:gutter="0" w:footer="0" w:header="0"/>
          <w:type w:val="continuous"/>
        </w:sectPr>
      </w:pPr>
    </w:p>
    <w:bookmarkStart w:id="85" w:name="page86"/>
    <w:bookmarkEnd w:id="85"/>
    <w:p>
      <w:pPr>
        <w:spacing w:after="0"/>
        <w:tabs>
          <w:tab w:leader="none" w:pos="2100" w:val="left"/>
          <w:tab w:leader="none" w:pos="4800" w:val="left"/>
          <w:tab w:leader="none" w:pos="6000" w:val="left"/>
          <w:tab w:leader="none" w:pos="7180" w:val="left"/>
          <w:tab w:leader="none" w:pos="8640" w:val="left"/>
          <w:tab w:leader="none" w:pos="1016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Exhibit Description</w:t>
      </w:r>
      <w:r>
        <w:rPr>
          <w:sz w:val="20"/>
          <w:szCs w:val="20"/>
          <w:color w:val="auto"/>
        </w:rPr>
        <w:tab/>
      </w: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File No.</w:t>
      </w:r>
      <w:r>
        <w:rPr>
          <w:sz w:val="20"/>
          <w:szCs w:val="20"/>
          <w:color w:val="auto"/>
        </w:rPr>
        <w:tab/>
      </w: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Filing Date</w:t>
      </w:r>
      <w:r>
        <w:rPr>
          <w:sz w:val="20"/>
          <w:szCs w:val="20"/>
          <w:color w:val="auto"/>
        </w:rPr>
        <w:tab/>
      </w:r>
      <w:r>
        <w:rPr>
          <w:rFonts w:ascii="Times New Roman" w:cs="Times New Roman" w:eastAsia="Times New Roman" w:hAnsi="Times New Roman"/>
          <w:sz w:val="14"/>
          <w:szCs w:val="14"/>
          <w:b w:val="1"/>
          <w:bCs w:val="1"/>
          <w:color w:val="auto"/>
        </w:rPr>
        <w:t>Filed Herewith</w:t>
      </w:r>
    </w:p>
    <w:p>
      <w:pPr>
        <w:sectPr>
          <w:pgSz w:w="11900" w:h="16838" w:orient="portrait"/>
          <w:cols w:equalWidth="0" w:num="1">
            <w:col w:w="11100"/>
          </w:cols>
          <w:pgMar w:left="380" w:top="965" w:right="419" w:bottom="1440" w:gutter="0" w:footer="0" w:header="0"/>
        </w:sectPr>
      </w:pPr>
    </w:p>
    <w:p>
      <w:pPr>
        <w:spacing w:after="0" w:line="35"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8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31.3</w:t>
            </w:r>
          </w:p>
        </w:tc>
        <w:tc>
          <w:tcPr>
            <w:tcW w:w="30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74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76"/>
              </w:rPr>
              <w:t>X</w:t>
            </w:r>
          </w:p>
        </w:tc>
      </w:tr>
      <w:tr>
        <w:trPr>
          <w:trHeight w:val="263"/>
        </w:trPr>
        <w:tc>
          <w:tcPr>
            <w:tcW w:w="8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32.1</w:t>
            </w:r>
          </w:p>
        </w:tc>
        <w:tc>
          <w:tcPr>
            <w:tcW w:w="3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Section 1350 Certification of Co-Principal</w:t>
            </w:r>
          </w:p>
        </w:tc>
        <w:tc>
          <w:tcPr>
            <w:tcW w:w="1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74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76"/>
              </w:rPr>
              <w:t>X</w:t>
            </w:r>
          </w:p>
        </w:tc>
      </w:tr>
      <w:tr>
        <w:trPr>
          <w:trHeight w:val="156"/>
        </w:trPr>
        <w:tc>
          <w:tcPr>
            <w:tcW w:w="820" w:type="dxa"/>
            <w:vAlign w:val="bottom"/>
          </w:tcPr>
          <w:p>
            <w:pPr>
              <w:spacing w:after="0"/>
              <w:rPr>
                <w:sz w:val="13"/>
                <w:szCs w:val="13"/>
                <w:color w:val="auto"/>
              </w:rPr>
            </w:pPr>
          </w:p>
        </w:tc>
        <w:tc>
          <w:tcPr>
            <w:tcW w:w="128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8"/>
              </w:rPr>
              <w:t>Executive Officer</w:t>
            </w:r>
          </w:p>
        </w:tc>
        <w:tc>
          <w:tcPr>
            <w:tcW w:w="17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277"/>
        </w:trPr>
        <w:tc>
          <w:tcPr>
            <w:tcW w:w="8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32.2</w:t>
            </w:r>
          </w:p>
        </w:tc>
        <w:tc>
          <w:tcPr>
            <w:tcW w:w="3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Section 1350 Certification of Co-Principal</w:t>
            </w: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4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76"/>
              </w:rPr>
              <w:t>X</w:t>
            </w:r>
          </w:p>
        </w:tc>
      </w:tr>
      <w:tr>
        <w:trPr>
          <w:trHeight w:val="156"/>
        </w:trPr>
        <w:tc>
          <w:tcPr>
            <w:tcW w:w="820" w:type="dxa"/>
            <w:vAlign w:val="bottom"/>
          </w:tcPr>
          <w:p>
            <w:pPr>
              <w:spacing w:after="0"/>
              <w:rPr>
                <w:sz w:val="13"/>
                <w:szCs w:val="13"/>
                <w:color w:val="auto"/>
              </w:rPr>
            </w:pPr>
          </w:p>
        </w:tc>
        <w:tc>
          <w:tcPr>
            <w:tcW w:w="128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8"/>
              </w:rPr>
              <w:t>Executive Officer</w:t>
            </w:r>
          </w:p>
        </w:tc>
        <w:tc>
          <w:tcPr>
            <w:tcW w:w="17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277"/>
        </w:trPr>
        <w:tc>
          <w:tcPr>
            <w:tcW w:w="8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32.3</w:t>
            </w:r>
          </w:p>
        </w:tc>
        <w:tc>
          <w:tcPr>
            <w:tcW w:w="3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Section 1350 Certification of Principal</w:t>
            </w: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4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76"/>
              </w:rPr>
              <w:t>X</w:t>
            </w:r>
          </w:p>
        </w:tc>
      </w:tr>
      <w:tr>
        <w:trPr>
          <w:trHeight w:val="156"/>
        </w:trPr>
        <w:tc>
          <w:tcPr>
            <w:tcW w:w="820" w:type="dxa"/>
            <w:vAlign w:val="bottom"/>
          </w:tcPr>
          <w:p>
            <w:pPr>
              <w:spacing w:after="0"/>
              <w:rPr>
                <w:sz w:val="13"/>
                <w:szCs w:val="13"/>
                <w:color w:val="auto"/>
              </w:rPr>
            </w:pPr>
          </w:p>
        </w:tc>
        <w:tc>
          <w:tcPr>
            <w:tcW w:w="278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Financial Officer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77"/>
        </w:trPr>
        <w:tc>
          <w:tcPr>
            <w:tcW w:w="8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97</w:t>
            </w:r>
          </w:p>
        </w:tc>
        <w:tc>
          <w:tcPr>
            <w:tcW w:w="3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Incentive Compensation Recovery Policy</w:t>
            </w: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4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76"/>
              </w:rPr>
              <w:t>X</w:t>
            </w:r>
          </w:p>
        </w:tc>
      </w:tr>
      <w:tr>
        <w:trPr>
          <w:trHeight w:val="264"/>
        </w:trPr>
        <w:tc>
          <w:tcPr>
            <w:tcW w:w="8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99.1</w:t>
            </w:r>
          </w:p>
        </w:tc>
        <w:tc>
          <w:tcPr>
            <w:tcW w:w="2980" w:type="dxa"/>
            <w:vAlign w:val="bottom"/>
            <w:tcBorders>
              <w:top w:val="single" w:sz="8" w:color="0000FF"/>
            </w:tcBorders>
            <w:gridSpan w:val="9"/>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Audited financial statements of Medici</w:t>
              </w:r>
            </w:hyperlink>
          </w:p>
        </w:tc>
        <w:tc>
          <w:tcPr>
            <w:tcW w:w="320" w:type="dxa"/>
            <w:vAlign w:val="bottom"/>
            <w:gridSpan w:val="3"/>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000-49799</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99.1</w:t>
            </w:r>
          </w:p>
        </w:tc>
        <w:tc>
          <w:tcPr>
            <w:tcW w:w="27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156"/>
        </w:trPr>
        <w:tc>
          <w:tcPr>
            <w:tcW w:w="820" w:type="dxa"/>
            <w:vAlign w:val="bottom"/>
          </w:tcPr>
          <w:p>
            <w:pPr>
              <w:spacing w:after="0"/>
              <w:rPr>
                <w:sz w:val="13"/>
                <w:szCs w:val="13"/>
                <w:color w:val="auto"/>
              </w:rPr>
            </w:pPr>
          </w:p>
        </w:tc>
        <w:tc>
          <w:tcPr>
            <w:tcW w:w="280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Ventures, L.P. as of and for the period</w:t>
              </w:r>
            </w:hyperlink>
          </w:p>
        </w:tc>
        <w:tc>
          <w:tcPr>
            <w:tcW w:w="20" w:type="dxa"/>
            <w:vAlign w:val="bottom"/>
          </w:tcPr>
          <w:p>
            <w:pPr>
              <w:spacing w:after="0"/>
              <w:rPr>
                <w:sz w:val="13"/>
                <w:szCs w:val="13"/>
                <w:color w:val="auto"/>
              </w:rPr>
            </w:pPr>
          </w:p>
        </w:tc>
        <w:tc>
          <w:tcPr>
            <w:tcW w:w="260" w:type="dxa"/>
            <w:vAlign w:val="bottom"/>
            <w:gridSpan w:val="3"/>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169"/>
        </w:trPr>
        <w:tc>
          <w:tcPr>
            <w:tcW w:w="820" w:type="dxa"/>
            <w:vAlign w:val="bottom"/>
          </w:tcPr>
          <w:p>
            <w:pPr>
              <w:spacing w:after="0"/>
              <w:rPr>
                <w:sz w:val="14"/>
                <w:szCs w:val="14"/>
                <w:color w:val="auto"/>
              </w:rPr>
            </w:pPr>
          </w:p>
        </w:tc>
        <w:tc>
          <w:tcPr>
            <w:tcW w:w="19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ended September 30, 2021</w:t>
              </w:r>
            </w:hyperlink>
          </w:p>
        </w:tc>
        <w:tc>
          <w:tcPr>
            <w:tcW w:w="800" w:type="dxa"/>
            <w:vAlign w:val="bottom"/>
            <w:tcBorders>
              <w:top w:val="single" w:sz="8" w:color="0000FF"/>
            </w:tcBorders>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260" w:type="dxa"/>
            <w:vAlign w:val="bottom"/>
            <w:gridSpan w:val="3"/>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264"/>
        </w:trPr>
        <w:tc>
          <w:tcPr>
            <w:tcW w:w="8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99.2</w:t>
            </w:r>
          </w:p>
        </w:tc>
        <w:tc>
          <w:tcPr>
            <w:tcW w:w="3300" w:type="dxa"/>
            <w:vAlign w:val="bottom"/>
            <w:gridSpan w:val="12"/>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Audited financial statements of Medici</w:t>
              </w:r>
            </w:hyperlink>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000-49799</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99.2</w:t>
            </w:r>
          </w:p>
        </w:tc>
        <w:tc>
          <w:tcPr>
            <w:tcW w:w="27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155"/>
        </w:trPr>
        <w:tc>
          <w:tcPr>
            <w:tcW w:w="820" w:type="dxa"/>
            <w:vAlign w:val="bottom"/>
          </w:tcPr>
          <w:p>
            <w:pPr>
              <w:spacing w:after="0"/>
              <w:rPr>
                <w:sz w:val="13"/>
                <w:szCs w:val="13"/>
                <w:color w:val="auto"/>
              </w:rPr>
            </w:pPr>
          </w:p>
        </w:tc>
        <w:tc>
          <w:tcPr>
            <w:tcW w:w="280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Ventures, L.P. as of and for the period</w:t>
              </w:r>
            </w:hyperlink>
          </w:p>
        </w:tc>
        <w:tc>
          <w:tcPr>
            <w:tcW w:w="20" w:type="dxa"/>
            <w:vAlign w:val="bottom"/>
          </w:tcPr>
          <w:p>
            <w:pPr>
              <w:spacing w:after="0"/>
              <w:rPr>
                <w:sz w:val="13"/>
                <w:szCs w:val="13"/>
                <w:color w:val="auto"/>
              </w:rPr>
            </w:pPr>
          </w:p>
        </w:tc>
        <w:tc>
          <w:tcPr>
            <w:tcW w:w="260" w:type="dxa"/>
            <w:vAlign w:val="bottom"/>
            <w:gridSpan w:val="3"/>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169"/>
        </w:trPr>
        <w:tc>
          <w:tcPr>
            <w:tcW w:w="820" w:type="dxa"/>
            <w:vAlign w:val="bottom"/>
          </w:tcPr>
          <w:p>
            <w:pPr>
              <w:spacing w:after="0"/>
              <w:rPr>
                <w:sz w:val="14"/>
                <w:szCs w:val="14"/>
                <w:color w:val="auto"/>
              </w:rPr>
            </w:pPr>
          </w:p>
        </w:tc>
        <w:tc>
          <w:tcPr>
            <w:tcW w:w="19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141">
              <w:r>
                <w:rPr>
                  <w:rFonts w:ascii="Times New Roman" w:cs="Times New Roman" w:eastAsia="Times New Roman" w:hAnsi="Times New Roman"/>
                  <w:sz w:val="18"/>
                  <w:szCs w:val="18"/>
                  <w:color w:val="0000FF"/>
                  <w:w w:val="98"/>
                </w:rPr>
                <w:t>ended September 30, 2022</w:t>
              </w:r>
            </w:hyperlink>
          </w:p>
        </w:tc>
        <w:tc>
          <w:tcPr>
            <w:tcW w:w="800" w:type="dxa"/>
            <w:vAlign w:val="bottom"/>
            <w:tcBorders>
              <w:top w:val="single" w:sz="8" w:color="0000FF"/>
            </w:tcBorders>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260" w:type="dxa"/>
            <w:vAlign w:val="bottom"/>
            <w:gridSpan w:val="3"/>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263"/>
        </w:trPr>
        <w:tc>
          <w:tcPr>
            <w:tcW w:w="8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99.3</w:t>
            </w:r>
          </w:p>
        </w:tc>
        <w:tc>
          <w:tcPr>
            <w:tcW w:w="3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Audited financial statements of Medici</w:t>
            </w:r>
          </w:p>
        </w:tc>
        <w:tc>
          <w:tcPr>
            <w:tcW w:w="1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74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76"/>
              </w:rPr>
              <w:t>X</w:t>
            </w:r>
          </w:p>
        </w:tc>
      </w:tr>
      <w:tr>
        <w:trPr>
          <w:trHeight w:val="155"/>
        </w:trPr>
        <w:tc>
          <w:tcPr>
            <w:tcW w:w="820" w:type="dxa"/>
            <w:vAlign w:val="bottom"/>
          </w:tcPr>
          <w:p>
            <w:pPr>
              <w:spacing w:after="0"/>
              <w:rPr>
                <w:sz w:val="13"/>
                <w:szCs w:val="13"/>
                <w:color w:val="auto"/>
              </w:rPr>
            </w:pPr>
          </w:p>
        </w:tc>
        <w:tc>
          <w:tcPr>
            <w:tcW w:w="280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Ventures, L.P. as of and for the period</w:t>
            </w:r>
          </w:p>
        </w:tc>
        <w:tc>
          <w:tcPr>
            <w:tcW w:w="20" w:type="dxa"/>
            <w:vAlign w:val="bottom"/>
          </w:tcPr>
          <w:p>
            <w:pPr>
              <w:spacing w:after="0"/>
              <w:rPr>
                <w:sz w:val="13"/>
                <w:szCs w:val="13"/>
                <w:color w:val="auto"/>
              </w:rPr>
            </w:pPr>
          </w:p>
        </w:tc>
        <w:tc>
          <w:tcPr>
            <w:tcW w:w="260" w:type="dxa"/>
            <w:vAlign w:val="bottom"/>
            <w:gridSpan w:val="3"/>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169"/>
        </w:trPr>
        <w:tc>
          <w:tcPr>
            <w:tcW w:w="820" w:type="dxa"/>
            <w:vAlign w:val="bottom"/>
          </w:tcPr>
          <w:p>
            <w:pPr>
              <w:spacing w:after="0"/>
              <w:rPr>
                <w:sz w:val="14"/>
                <w:szCs w:val="14"/>
                <w:color w:val="auto"/>
              </w:rPr>
            </w:pPr>
          </w:p>
        </w:tc>
        <w:tc>
          <w:tcPr>
            <w:tcW w:w="192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8"/>
              </w:rPr>
              <w:t>ended September 30, 2023</w:t>
            </w:r>
          </w:p>
        </w:tc>
        <w:tc>
          <w:tcPr>
            <w:tcW w:w="800" w:type="dxa"/>
            <w:vAlign w:val="bottom"/>
            <w:tcBorders>
              <w:top w:val="single" w:sz="8" w:color="0000FF"/>
            </w:tcBorders>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260" w:type="dxa"/>
            <w:vAlign w:val="bottom"/>
            <w:gridSpan w:val="3"/>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264"/>
        </w:trPr>
        <w:tc>
          <w:tcPr>
            <w:tcW w:w="8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99.4</w:t>
            </w:r>
          </w:p>
        </w:tc>
        <w:tc>
          <w:tcPr>
            <w:tcW w:w="28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Audited financial statements of tZERO</w:t>
              </w:r>
            </w:hyperlink>
          </w:p>
        </w:tc>
        <w:tc>
          <w:tcPr>
            <w:tcW w:w="480" w:type="dxa"/>
            <w:vAlign w:val="bottom"/>
            <w:gridSpan w:val="4"/>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10-K/A</w:t>
            </w: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000-49799</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99.4</w:t>
            </w:r>
          </w:p>
        </w:tc>
        <w:tc>
          <w:tcPr>
            <w:tcW w:w="27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July 3, 2023</w:t>
            </w:r>
          </w:p>
        </w:tc>
      </w:tr>
      <w:tr>
        <w:trPr>
          <w:trHeight w:val="155"/>
        </w:trPr>
        <w:tc>
          <w:tcPr>
            <w:tcW w:w="820" w:type="dxa"/>
            <w:vAlign w:val="bottom"/>
          </w:tcPr>
          <w:p>
            <w:pPr>
              <w:spacing w:after="0"/>
              <w:rPr>
                <w:sz w:val="13"/>
                <w:szCs w:val="13"/>
                <w:color w:val="auto"/>
              </w:rPr>
            </w:pPr>
          </w:p>
        </w:tc>
        <w:tc>
          <w:tcPr>
            <w:tcW w:w="3300" w:type="dxa"/>
            <w:vAlign w:val="bottom"/>
            <w:gridSpan w:val="12"/>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Group, Inc. as of and for the periods ended</w:t>
              </w:r>
            </w:hyperlink>
          </w:p>
        </w:tc>
        <w:tc>
          <w:tcPr>
            <w:tcW w:w="1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169"/>
        </w:trPr>
        <w:tc>
          <w:tcPr>
            <w:tcW w:w="820" w:type="dxa"/>
            <w:vAlign w:val="bottom"/>
          </w:tcPr>
          <w:p>
            <w:pPr>
              <w:spacing w:after="0"/>
              <w:rPr>
                <w:sz w:val="14"/>
                <w:szCs w:val="14"/>
                <w:color w:val="auto"/>
              </w:rPr>
            </w:pPr>
          </w:p>
        </w:tc>
        <w:tc>
          <w:tcPr>
            <w:tcW w:w="21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8"/>
              </w:rPr>
            </w:pPr>
            <w:hyperlink r:id="rId142">
              <w:r>
                <w:rPr>
                  <w:rFonts w:ascii="Times New Roman" w:cs="Times New Roman" w:eastAsia="Times New Roman" w:hAnsi="Times New Roman"/>
                  <w:sz w:val="18"/>
                  <w:szCs w:val="18"/>
                  <w:color w:val="0000FF"/>
                  <w:w w:val="98"/>
                </w:rPr>
                <w:t>December 31, 2022 and 2021</w:t>
              </w:r>
            </w:hyperlink>
          </w:p>
        </w:tc>
        <w:tc>
          <w:tcPr>
            <w:tcW w:w="960" w:type="dxa"/>
            <w:vAlign w:val="bottom"/>
            <w:tcBorders>
              <w:top w:val="single" w:sz="8" w:color="0000FF"/>
            </w:tcBorders>
            <w:gridSpan w:val="7"/>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250"/>
        </w:trPr>
        <w:tc>
          <w:tcPr>
            <w:tcW w:w="8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6"/>
              </w:rPr>
              <w:t>101</w:t>
            </w:r>
          </w:p>
        </w:tc>
        <w:tc>
          <w:tcPr>
            <w:tcW w:w="33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financial statements from</w:t>
            </w:r>
          </w:p>
        </w:tc>
        <w:tc>
          <w:tcPr>
            <w:tcW w:w="1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74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76"/>
              </w:rPr>
              <w:t>X</w:t>
            </w:r>
          </w:p>
        </w:tc>
      </w:tr>
      <w:tr>
        <w:trPr>
          <w:trHeight w:val="204"/>
        </w:trPr>
        <w:tc>
          <w:tcPr>
            <w:tcW w:w="820" w:type="dxa"/>
            <w:vAlign w:val="bottom"/>
          </w:tcPr>
          <w:p>
            <w:pPr>
              <w:spacing w:after="0"/>
              <w:rPr>
                <w:sz w:val="17"/>
                <w:szCs w:val="17"/>
                <w:color w:val="auto"/>
              </w:rPr>
            </w:pPr>
          </w:p>
        </w:tc>
        <w:tc>
          <w:tcPr>
            <w:tcW w:w="3300" w:type="dxa"/>
            <w:vAlign w:val="bottom"/>
            <w:gridSpan w:val="12"/>
          </w:tcPr>
          <w:p>
            <w:pPr>
              <w:spacing w:after="0" w:line="204" w:lineRule="exact"/>
              <w:rPr>
                <w:sz w:val="20"/>
                <w:szCs w:val="20"/>
                <w:color w:val="auto"/>
              </w:rPr>
            </w:pPr>
            <w:r>
              <w:rPr>
                <w:rFonts w:ascii="Times New Roman" w:cs="Times New Roman" w:eastAsia="Times New Roman" w:hAnsi="Times New Roman"/>
                <w:sz w:val="18"/>
                <w:szCs w:val="18"/>
                <w:color w:val="auto"/>
              </w:rPr>
              <w:t>the Company's Annual Report on Form</w:t>
            </w: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740" w:type="dxa"/>
            <w:vAlign w:val="bottom"/>
          </w:tcPr>
          <w:p>
            <w:pPr>
              <w:spacing w:after="0"/>
              <w:rPr>
                <w:sz w:val="17"/>
                <w:szCs w:val="17"/>
                <w:color w:val="auto"/>
              </w:rPr>
            </w:pPr>
          </w:p>
        </w:tc>
      </w:tr>
    </w:tbl>
    <w:p>
      <w:pPr>
        <w:ind w:left="1180"/>
        <w:spacing w:after="0" w:line="203" w:lineRule="auto"/>
        <w:rPr>
          <w:sz w:val="20"/>
          <w:szCs w:val="20"/>
          <w:color w:val="auto"/>
        </w:rPr>
      </w:pPr>
      <w:r>
        <w:rPr>
          <w:rFonts w:ascii="Times New Roman" w:cs="Times New Roman" w:eastAsia="Times New Roman" w:hAnsi="Times New Roman"/>
          <w:sz w:val="18"/>
          <w:szCs w:val="18"/>
          <w:color w:val="auto"/>
        </w:rPr>
        <w:t>10-K for the year ended December 31,</w:t>
      </w:r>
    </w:p>
    <w:p>
      <w:pPr>
        <w:ind w:left="1180"/>
        <w:spacing w:after="0" w:line="203" w:lineRule="auto"/>
        <w:rPr>
          <w:sz w:val="20"/>
          <w:szCs w:val="20"/>
          <w:color w:val="auto"/>
        </w:rPr>
      </w:pPr>
      <w:r>
        <w:rPr>
          <w:rFonts w:ascii="Times New Roman" w:cs="Times New Roman" w:eastAsia="Times New Roman" w:hAnsi="Times New Roman"/>
          <w:sz w:val="18"/>
          <w:szCs w:val="18"/>
          <w:color w:val="auto"/>
        </w:rPr>
        <w:t>2023 formatted in Inline</w:t>
      </w:r>
    </w:p>
    <w:p>
      <w:pPr>
        <w:ind w:left="1180"/>
        <w:spacing w:after="0" w:line="220" w:lineRule="auto"/>
        <w:rPr>
          <w:sz w:val="20"/>
          <w:szCs w:val="20"/>
          <w:color w:val="auto"/>
        </w:rPr>
      </w:pPr>
      <w:r>
        <w:rPr>
          <w:rFonts w:ascii="Times New Roman" w:cs="Times New Roman" w:eastAsia="Times New Roman" w:hAnsi="Times New Roman"/>
          <w:sz w:val="18"/>
          <w:szCs w:val="18"/>
          <w:color w:val="auto"/>
        </w:rPr>
        <w:t>XBRL: (i) Consolidated Balance Sheets at</w:t>
      </w:r>
    </w:p>
    <w:p>
      <w:pPr>
        <w:ind w:left="1180"/>
        <w:spacing w:after="0" w:line="203" w:lineRule="auto"/>
        <w:rPr>
          <w:sz w:val="20"/>
          <w:szCs w:val="20"/>
          <w:color w:val="auto"/>
        </w:rPr>
      </w:pPr>
      <w:r>
        <w:rPr>
          <w:rFonts w:ascii="Times New Roman" w:cs="Times New Roman" w:eastAsia="Times New Roman" w:hAnsi="Times New Roman"/>
          <w:sz w:val="18"/>
          <w:szCs w:val="18"/>
          <w:color w:val="auto"/>
        </w:rPr>
        <w:t>December 31, 2023 and 2022;</w:t>
      </w:r>
    </w:p>
    <w:p>
      <w:pPr>
        <w:spacing w:after="0" w:line="1" w:lineRule="exact"/>
        <w:rPr>
          <w:sz w:val="20"/>
          <w:szCs w:val="20"/>
          <w:color w:val="auto"/>
        </w:rPr>
      </w:pPr>
    </w:p>
    <w:p>
      <w:pPr>
        <w:ind w:left="1180" w:right="6840" w:hanging="6"/>
        <w:spacing w:after="0" w:line="211" w:lineRule="auto"/>
        <w:tabs>
          <w:tab w:leader="none" w:pos="144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the years ended December 31, 2023, 2022, and 2021; (iii) Consolidated Statements of Comprehensive Income (Loss) for the years ended December 31, 2023, 2022, and 2021; (iv) Consolidated Statements of Changes in Stockholders' Equity for the years ended December 31, 2023, 2022, and 2021; (v) Consolidated Statements of Cash Flows for the years ended December 31, 2023, 2022, and 2021; and (vi)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80" w:top="965" w:right="419"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4"/>
          <w:szCs w:val="14"/>
          <w:b w:val="1"/>
          <w:bCs w:val="1"/>
          <w:color w:val="auto"/>
        </w:rPr>
        <w:t>Exhibit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Form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File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Filing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Filed Herewith</w:t>
      </w:r>
    </w:p>
    <w:p>
      <w:pPr>
        <w:spacing w:after="0" w:line="90" w:lineRule="exact"/>
        <w:rPr>
          <w:sz w:val="20"/>
          <w:szCs w:val="20"/>
          <w:color w:val="auto"/>
        </w:rPr>
      </w:pPr>
    </w:p>
    <w:p>
      <w:pPr>
        <w:sectPr>
          <w:pgSz w:w="11900" w:h="16838" w:orient="portrait"/>
          <w:cols w:equalWidth="0" w:num="7">
            <w:col w:w="1460" w:space="720"/>
            <w:col w:w="1960" w:space="720"/>
            <w:col w:w="500" w:space="720"/>
            <w:col w:w="480" w:space="700"/>
            <w:col w:w="740" w:space="720"/>
            <w:col w:w="800" w:space="720"/>
            <w:col w:w="920"/>
          </w:cols>
          <w:pgMar w:left="320" w:top="965" w:right="419" w:bottom="1440" w:gutter="0" w:footer="0" w:header="0"/>
        </w:sectPr>
      </w:pPr>
    </w:p>
    <w:p>
      <w:pPr>
        <w:ind w:left="440"/>
        <w:spacing w:after="0"/>
        <w:tabs>
          <w:tab w:leader="none" w:pos="12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the Company's</w:t>
      </w:r>
    </w:p>
    <w:p>
      <w:pPr>
        <w:ind w:left="1240"/>
        <w:spacing w:after="0"/>
        <w:rPr>
          <w:sz w:val="20"/>
          <w:szCs w:val="20"/>
          <w:color w:val="auto"/>
        </w:rPr>
      </w:pPr>
      <w:r>
        <w:rPr>
          <w:rFonts w:ascii="Times New Roman" w:cs="Times New Roman" w:eastAsia="Times New Roman" w:hAnsi="Times New Roman"/>
          <w:sz w:val="17"/>
          <w:szCs w:val="17"/>
          <w:color w:val="auto"/>
        </w:rPr>
        <w:t>Annual Report on Form 10-K for the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X</w:t>
      </w:r>
    </w:p>
    <w:p>
      <w:pPr>
        <w:spacing w:after="0" w:line="207" w:lineRule="exact"/>
        <w:rPr>
          <w:sz w:val="20"/>
          <w:szCs w:val="20"/>
          <w:color w:val="auto"/>
        </w:rPr>
      </w:pPr>
    </w:p>
    <w:p>
      <w:pPr>
        <w:sectPr>
          <w:pgSz w:w="11900" w:h="16838" w:orient="portrait"/>
          <w:cols w:equalWidth="0" w:num="2">
            <w:col w:w="9920" w:space="720"/>
            <w:col w:w="520"/>
          </w:cols>
          <w:pgMar w:left="320" w:top="965" w:right="419" w:bottom="1440" w:gutter="0" w:footer="0" w:header="0"/>
          <w:type w:val="continuous"/>
        </w:sectPr>
      </w:pPr>
    </w:p>
    <w:p>
      <w:pPr>
        <w:ind w:left="1240"/>
        <w:spacing w:after="0" w:line="207" w:lineRule="auto"/>
        <w:rPr>
          <w:sz w:val="20"/>
          <w:szCs w:val="20"/>
          <w:color w:val="auto"/>
        </w:rPr>
      </w:pPr>
      <w:r>
        <w:rPr>
          <w:rFonts w:ascii="Times New Roman" w:cs="Times New Roman" w:eastAsia="Times New Roman" w:hAnsi="Times New Roman"/>
          <w:sz w:val="17"/>
          <w:szCs w:val="17"/>
          <w:color w:val="auto"/>
        </w:rPr>
        <w:t>ended December 31, 2023, formatted in</w:t>
      </w:r>
    </w:p>
    <w:p>
      <w:pPr>
        <w:ind w:left="1240"/>
        <w:spacing w:after="0"/>
        <w:rPr>
          <w:sz w:val="20"/>
          <w:szCs w:val="20"/>
          <w:color w:val="auto"/>
        </w:rPr>
      </w:pPr>
      <w:r>
        <w:rPr>
          <w:rFonts w:ascii="Times New Roman" w:cs="Times New Roman" w:eastAsia="Times New Roman" w:hAnsi="Times New Roman"/>
          <w:sz w:val="18"/>
          <w:szCs w:val="18"/>
          <w:color w:val="auto"/>
        </w:rPr>
        <w:t>Inline XBRL (included as Exhibit 101)</w:t>
      </w:r>
    </w:p>
    <w:p>
      <w:pPr>
        <w:sectPr>
          <w:pgSz w:w="11900" w:h="16838" w:orient="portrait"/>
          <w:cols w:equalWidth="0" w:num="1">
            <w:col w:w="11160"/>
          </w:cols>
          <w:pgMar w:left="320" w:top="965" w:right="419" w:bottom="1440" w:gutter="0" w:footer="0" w:header="0"/>
          <w:type w:val="continuous"/>
        </w:sectPr>
      </w:pP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117" w:lineRule="exact"/>
        <w:rPr>
          <w:sz w:val="20"/>
          <w:szCs w:val="20"/>
          <w:color w:val="auto"/>
        </w:rPr>
      </w:pPr>
    </w:p>
    <w:p>
      <w:pPr>
        <w:ind w:left="660" w:right="48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6019a)(5) of Regulation S-K. The Reporting Company agrees to furnish supplementally a copy of any omitted schedule or exhibit to the SEC upon request.</w:t>
      </w:r>
    </w:p>
    <w:p>
      <w:pPr>
        <w:ind w:left="340"/>
        <w:spacing w:after="0"/>
        <w:rPr>
          <w:sz w:val="20"/>
          <w:szCs w:val="20"/>
          <w:color w:val="auto"/>
        </w:rPr>
      </w:pPr>
      <w:r>
        <w:rPr>
          <w:rFonts w:ascii="Times New Roman" w:cs="Times New Roman" w:eastAsia="Times New Roman" w:hAnsi="Times New Roman"/>
          <w:sz w:val="18"/>
          <w:szCs w:val="18"/>
          <w:color w:val="auto"/>
        </w:rPr>
        <w:t>(a)  Management contract or compensatory plan or arrangement.</w:t>
      </w:r>
    </w:p>
    <w:p>
      <w:pPr>
        <w:spacing w:after="0" w:line="36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65" w:right="419" w:bottom="1440"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February 23, 2024.</w:t>
      </w:r>
    </w:p>
    <w:p>
      <w:pPr>
        <w:spacing w:after="0" w:line="13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BEYOND, INC.</w:t>
      </w:r>
    </w:p>
    <w:p>
      <w:pPr>
        <w:spacing w:after="0" w:line="27" w:lineRule="exact"/>
        <w:rPr>
          <w:sz w:val="20"/>
          <w:szCs w:val="20"/>
          <w:color w:val="auto"/>
        </w:rPr>
      </w:pPr>
    </w:p>
    <w:p>
      <w:pPr>
        <w:ind w:left="5300"/>
        <w:spacing w:after="0"/>
        <w:tabs>
          <w:tab w:leader="none" w:pos="6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J.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14605</wp:posOffset>
            </wp:positionV>
            <wp:extent cx="30861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David J. Nielsen</w:t>
      </w:r>
    </w:p>
    <w:p>
      <w:pPr>
        <w:spacing w:after="0" w:line="1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i w:val="1"/>
          <w:iCs w:val="1"/>
          <w:color w:val="auto"/>
        </w:rPr>
        <w:t>Division Chief Executive Officer, Overstock (Co-Principal</w:t>
      </w:r>
    </w:p>
    <w:p>
      <w:pPr>
        <w:ind w:left="6400"/>
        <w:spacing w:after="0"/>
        <w:rPr>
          <w:sz w:val="20"/>
          <w:szCs w:val="20"/>
          <w:color w:val="auto"/>
        </w:rPr>
      </w:pPr>
      <w:r>
        <w:rPr>
          <w:rFonts w:ascii="Times New Roman" w:cs="Times New Roman" w:eastAsia="Times New Roman" w:hAnsi="Times New Roman"/>
          <w:sz w:val="18"/>
          <w:szCs w:val="18"/>
          <w:i w:val="1"/>
          <w:iCs w:val="1"/>
          <w:color w:val="auto"/>
        </w:rPr>
        <w:t>Executive Officer)</w:t>
      </w:r>
    </w:p>
    <w:p>
      <w:pPr>
        <w:spacing w:after="0" w:line="286" w:lineRule="exact"/>
        <w:rPr>
          <w:sz w:val="20"/>
          <w:szCs w:val="20"/>
          <w:color w:val="auto"/>
        </w:rPr>
      </w:pPr>
    </w:p>
    <w:tbl>
      <w:tblPr>
        <w:tblLayout w:type="fixed"/>
        <w:tblInd w:w="530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CHANDRA HOLT</w:t>
            </w:r>
          </w:p>
        </w:tc>
      </w:tr>
      <w:tr>
        <w:trPr>
          <w:trHeight w:val="216"/>
        </w:trPr>
        <w:tc>
          <w:tcPr>
            <w:tcW w:w="108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Chandra Holt</w:t>
            </w:r>
          </w:p>
        </w:tc>
      </w:tr>
      <w:tr>
        <w:trPr>
          <w:trHeight w:val="182"/>
        </w:trPr>
        <w:tc>
          <w:tcPr>
            <w:tcW w:w="1080" w:type="dxa"/>
            <w:vAlign w:val="bottom"/>
          </w:tcPr>
          <w:p>
            <w:pPr>
              <w:spacing w:after="0"/>
              <w:rPr>
                <w:sz w:val="15"/>
                <w:szCs w:val="15"/>
                <w:color w:val="auto"/>
              </w:rPr>
            </w:pPr>
          </w:p>
        </w:tc>
        <w:tc>
          <w:tcPr>
            <w:tcW w:w="48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Division Chief Executive Officer, Bed Bath &amp; Beyond (Co-</w:t>
            </w:r>
          </w:p>
        </w:tc>
      </w:tr>
      <w:tr>
        <w:trPr>
          <w:trHeight w:val="236"/>
        </w:trPr>
        <w:tc>
          <w:tcPr>
            <w:tcW w:w="108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13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each of David J. Nielsen, Chandra Holt, and Adrianne B. Lee,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conforming all that said attorney-in-fact, or his or their substitute or substitutes, may do or cause to be done by virtue hereof.</w:t>
      </w:r>
    </w:p>
    <w:p>
      <w:pPr>
        <w:sectPr>
          <w:pgSz w:w="11900" w:h="16838" w:orient="portrait"/>
          <w:cols w:equalWidth="0" w:num="1">
            <w:col w:w="11240"/>
          </w:cols>
          <w:pgMar w:left="320" w:top="1076" w:right="339" w:bottom="1440" w:gutter="0" w:footer="0" w:header="0"/>
        </w:sectPr>
      </w:pP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51"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DAVID J.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285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16"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David J. Nielsen</w:t>
      </w:r>
    </w:p>
    <w:p>
      <w:pPr>
        <w:spacing w:after="0" w:line="200" w:lineRule="exact"/>
        <w:rPr>
          <w:sz w:val="20"/>
          <w:szCs w:val="20"/>
          <w:color w:val="auto"/>
        </w:rPr>
      </w:pPr>
    </w:p>
    <w:p>
      <w:pPr>
        <w:spacing w:after="0" w:line="214"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CHANDRA 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285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16"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Chandra Holt</w:t>
      </w:r>
    </w:p>
    <w:p>
      <w:pPr>
        <w:spacing w:after="0" w:line="36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MARCUS A. LEMONIS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285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16"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Marcus A. Lemonis</w:t>
      </w:r>
    </w:p>
    <w:p>
      <w:pPr>
        <w:spacing w:after="0" w:line="200" w:lineRule="exact"/>
        <w:rPr>
          <w:sz w:val="20"/>
          <w:szCs w:val="20"/>
          <w:color w:val="auto"/>
        </w:rPr>
      </w:pPr>
    </w:p>
    <w:p>
      <w:pPr>
        <w:spacing w:after="0" w:line="214"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ADRIANNE B.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285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16"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Adrianne B. Lee</w:t>
      </w:r>
    </w:p>
    <w:p>
      <w:pPr>
        <w:spacing w:after="0" w:line="200" w:lineRule="exact"/>
        <w:rPr>
          <w:sz w:val="20"/>
          <w:szCs w:val="20"/>
          <w:color w:val="auto"/>
        </w:rPr>
      </w:pPr>
    </w:p>
    <w:p>
      <w:pPr>
        <w:spacing w:after="0" w:line="214"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JOANNA C. BURKEY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285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16"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Joanna C. Burkey</w:t>
      </w:r>
    </w:p>
    <w:p>
      <w:pPr>
        <w:spacing w:after="0" w:line="36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BARCLAY F. CORBUS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285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16"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Barclay F. Corbus</w:t>
      </w:r>
    </w:p>
    <w:p>
      <w:pPr>
        <w:spacing w:after="0" w:line="36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/s/ JOSEPH J. TABACCO,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5285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28"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Joseph J. Tabacco, Jr.</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8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05"/>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Division Chief Executive Officer, Overstock (Co-</w:t>
            </w:r>
          </w:p>
        </w:tc>
        <w:tc>
          <w:tcPr>
            <w:tcW w:w="18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February 23, 2024</w:t>
            </w: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20" w:type="dxa"/>
            <w:vAlign w:val="bottom"/>
          </w:tcPr>
          <w:p>
            <w:pPr>
              <w:spacing w:after="0"/>
              <w:rPr>
                <w:sz w:val="20"/>
                <w:szCs w:val="20"/>
                <w:color w:val="auto"/>
              </w:rPr>
            </w:pPr>
          </w:p>
        </w:tc>
      </w:tr>
      <w:tr>
        <w:trPr>
          <w:trHeight w:val="68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Division Chief Executive Officer, Bed Bath &amp; Beyond</w:t>
            </w:r>
          </w:p>
        </w:tc>
        <w:tc>
          <w:tcPr>
            <w:tcW w:w="18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February 23, 2024</w:t>
            </w: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(Co-Principal Executive Officer)</w:t>
            </w:r>
          </w:p>
        </w:tc>
        <w:tc>
          <w:tcPr>
            <w:tcW w:w="1820" w:type="dxa"/>
            <w:vAlign w:val="bottom"/>
          </w:tcPr>
          <w:p>
            <w:pPr>
              <w:spacing w:after="0"/>
              <w:rPr>
                <w:sz w:val="20"/>
                <w:szCs w:val="20"/>
                <w:color w:val="auto"/>
              </w:rPr>
            </w:pPr>
          </w:p>
        </w:tc>
      </w:tr>
      <w:tr>
        <w:trPr>
          <w:trHeight w:val="6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 of the Board</w:t>
            </w:r>
          </w:p>
        </w:tc>
        <w:tc>
          <w:tcPr>
            <w:tcW w:w="18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February 23, 2024</w:t>
            </w:r>
          </w:p>
        </w:tc>
      </w:tr>
      <w:tr>
        <w:trPr>
          <w:trHeight w:val="75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&amp; Administrative Officer (Principal</w:t>
            </w:r>
          </w:p>
        </w:tc>
        <w:tc>
          <w:tcPr>
            <w:tcW w:w="18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February 23, 2024</w:t>
            </w: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 and Principal Accounting Officer)</w:t>
            </w:r>
          </w:p>
        </w:tc>
        <w:tc>
          <w:tcPr>
            <w:tcW w:w="1820" w:type="dxa"/>
            <w:vAlign w:val="bottom"/>
          </w:tcPr>
          <w:p>
            <w:pPr>
              <w:spacing w:after="0"/>
              <w:rPr>
                <w:sz w:val="20"/>
                <w:szCs w:val="20"/>
                <w:color w:val="auto"/>
              </w:rPr>
            </w:pPr>
          </w:p>
        </w:tc>
      </w:tr>
      <w:tr>
        <w:trPr>
          <w:trHeight w:val="738"/>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February 23, 2024</w:t>
            </w:r>
          </w:p>
        </w:tc>
      </w:tr>
      <w:tr>
        <w:trPr>
          <w:trHeight w:val="8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February 23, 2024</w:t>
            </w:r>
          </w:p>
        </w:tc>
      </w:tr>
      <w:tr>
        <w:trPr>
          <w:trHeight w:val="8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February 23, 2024</w:t>
            </w:r>
          </w:p>
        </w:tc>
      </w:tr>
    </w:tbl>
    <w:p>
      <w:pPr>
        <w:spacing w:after="0" w:line="456" w:lineRule="exact"/>
        <w:rPr>
          <w:sz w:val="20"/>
          <w:szCs w:val="20"/>
          <w:color w:val="auto"/>
        </w:rPr>
      </w:pPr>
    </w:p>
    <w:p>
      <w:pPr>
        <w:sectPr>
          <w:pgSz w:w="11900" w:h="16838" w:orient="portrait"/>
          <w:cols w:equalWidth="0" w:num="2">
            <w:col w:w="3740" w:space="720"/>
            <w:col w:w="6780"/>
          </w:cols>
          <w:pgMar w:left="320" w:top="1076" w:right="3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type w:val="continuous"/>
        </w:sectPr>
      </w:pPr>
    </w:p>
    <w:bookmarkStart w:id="88" w:name="page89"/>
    <w:bookmarkEnd w:id="88"/>
    <w:p>
      <w:pPr>
        <w:spacing w:after="0" w:line="40"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/s/ ROBERT J. SHAPIRO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17145</wp:posOffset>
            </wp:positionV>
            <wp:extent cx="25285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1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Robert J. Shapiro</w:t>
      </w:r>
    </w:p>
    <w:p>
      <w:pPr>
        <w:spacing w:after="0" w:line="360"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/s/ WILLIAM B. NETTLES,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24765</wp:posOffset>
            </wp:positionV>
            <wp:extent cx="25285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2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William B. Nettles, Jr.</w:t>
      </w:r>
    </w:p>
    <w:p>
      <w:pPr>
        <w:spacing w:after="0" w:line="20" w:lineRule="exact"/>
        <w:rPr>
          <w:sz w:val="20"/>
          <w:szCs w:val="20"/>
          <w:color w:val="auto"/>
        </w:rPr>
      </w:pPr>
      <w:r>
        <w:rPr>
          <w:sz w:val="20"/>
          <w:szCs w:val="20"/>
          <w:color w:val="auto"/>
        </w:rPr>
        <w:br w:type="column"/>
      </w:r>
    </w:p>
    <w:p>
      <w:pPr>
        <w:spacing w:after="0"/>
        <w:tabs>
          <w:tab w:leader="none" w:pos="490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February 23,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490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February 23,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2">
            <w:col w:w="2920" w:space="720"/>
            <w:col w:w="6260"/>
          </w:cols>
          <w:pgMar w:left="1140" w:top="1336" w:right="85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80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2680" w:type="dxa"/>
            <w:vAlign w:val="bottom"/>
          </w:tcPr>
          <w:p>
            <w:pPr>
              <w:spacing w:after="0"/>
              <w:rPr>
                <w:sz w:val="20"/>
                <w:szCs w:val="20"/>
                <w:color w:val="auto"/>
              </w:rPr>
            </w:pPr>
          </w:p>
        </w:tc>
      </w:tr>
      <w:tr>
        <w:trPr>
          <w:trHeight w:val="311"/>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40" w:type="dxa"/>
            <w:vAlign w:val="bottom"/>
          </w:tcPr>
          <w:p>
            <w:pPr>
              <w:spacing w:after="0"/>
              <w:rPr>
                <w:sz w:val="24"/>
                <w:szCs w:val="24"/>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Formation</w:t>
            </w:r>
          </w:p>
        </w:tc>
        <w:tc>
          <w:tcPr>
            <w:tcW w:w="26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Trade Names</w:t>
            </w:r>
          </w:p>
        </w:tc>
      </w:tr>
      <w:tr>
        <w:trPr>
          <w:trHeight w:val="20"/>
        </w:trPr>
        <w:tc>
          <w:tcPr>
            <w:tcW w:w="460" w:type="dxa"/>
            <w:vAlign w:val="bottom"/>
            <w:tcBorders>
              <w:top w:val="single" w:sz="8" w:color="auto"/>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r>
        <w:trPr>
          <w:trHeight w:val="223"/>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Overstock.com Services, Inc.</w:t>
            </w:r>
          </w:p>
        </w:tc>
        <w:tc>
          <w:tcPr>
            <w:tcW w:w="2640" w:type="dxa"/>
            <w:vAlign w:val="bottom"/>
            <w:shd w:val="clear" w:color="auto" w:fill="CCEEFF"/>
          </w:tcPr>
          <w:p>
            <w:pPr>
              <w:spacing w:after="0"/>
              <w:rPr>
                <w:sz w:val="19"/>
                <w:szCs w:val="19"/>
                <w:color w:val="auto"/>
              </w:rPr>
            </w:pP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Overstock.com Services</w:t>
            </w:r>
          </w:p>
        </w:tc>
      </w:tr>
      <w:tr>
        <w:trPr>
          <w:trHeight w:val="229"/>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Supplier Oasis Fulfillment Services, Inc.</w:t>
            </w:r>
          </w:p>
        </w:tc>
        <w:tc>
          <w:tcPr>
            <w:tcW w:w="2640" w:type="dxa"/>
            <w:vAlign w:val="bottom"/>
          </w:tcPr>
          <w:p>
            <w:pPr>
              <w:spacing w:after="0"/>
              <w:rPr>
                <w:sz w:val="19"/>
                <w:szCs w:val="19"/>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SOFS</w:t>
            </w:r>
          </w:p>
        </w:tc>
      </w:tr>
      <w:tr>
        <w:trPr>
          <w:trHeight w:val="230"/>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Overstock Ireland Limited</w:t>
            </w:r>
          </w:p>
        </w:tc>
        <w:tc>
          <w:tcPr>
            <w:tcW w:w="264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O.co Ireland.ie</w:t>
            </w:r>
          </w:p>
        </w:tc>
      </w:tr>
      <w:tr>
        <w:trPr>
          <w:trHeight w:val="229"/>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 Agency Group, Inc.</w:t>
            </w:r>
          </w:p>
        </w:tc>
        <w:tc>
          <w:tcPr>
            <w:tcW w:w="2640" w:type="dxa"/>
            <w:vAlign w:val="bottom"/>
          </w:tcPr>
          <w:p>
            <w:pPr>
              <w:spacing w:after="0"/>
              <w:rPr>
                <w:sz w:val="19"/>
                <w:szCs w:val="19"/>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Overstock.com Insurance</w:t>
            </w:r>
          </w:p>
        </w:tc>
      </w:tr>
      <w:tr>
        <w:trPr>
          <w:trHeight w:val="229"/>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O.com Land, LLC</w:t>
            </w:r>
          </w:p>
        </w:tc>
        <w:tc>
          <w:tcPr>
            <w:tcW w:w="264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2680" w:type="dxa"/>
            <w:vAlign w:val="bottom"/>
            <w:shd w:val="clear" w:color="auto" w:fill="CCEEFF"/>
          </w:tcPr>
          <w:p>
            <w:pPr>
              <w:spacing w:after="0"/>
              <w:rPr>
                <w:sz w:val="19"/>
                <w:szCs w:val="19"/>
                <w:color w:val="auto"/>
              </w:rPr>
            </w:pPr>
          </w:p>
        </w:tc>
      </w:tr>
      <w:tr>
        <w:trPr>
          <w:trHeight w:val="230"/>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Strategies, Inc.</w:t>
            </w:r>
          </w:p>
        </w:tc>
        <w:tc>
          <w:tcPr>
            <w:tcW w:w="2640" w:type="dxa"/>
            <w:vAlign w:val="bottom"/>
          </w:tcPr>
          <w:p>
            <w:pPr>
              <w:spacing w:after="0"/>
              <w:rPr>
                <w:sz w:val="19"/>
                <w:szCs w:val="19"/>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680" w:type="dxa"/>
            <w:vAlign w:val="bottom"/>
          </w:tcPr>
          <w:p>
            <w:pPr>
              <w:spacing w:after="0"/>
              <w:rPr>
                <w:sz w:val="19"/>
                <w:szCs w:val="19"/>
                <w:color w:val="auto"/>
              </w:rPr>
            </w:pPr>
          </w:p>
        </w:tc>
      </w:tr>
      <w:tr>
        <w:trPr>
          <w:trHeight w:val="229"/>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O.com Gift Cards, Inc.</w:t>
            </w:r>
          </w:p>
        </w:tc>
        <w:tc>
          <w:tcPr>
            <w:tcW w:w="264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2680" w:type="dxa"/>
            <w:vAlign w:val="bottom"/>
            <w:shd w:val="clear" w:color="auto" w:fill="CCEEFF"/>
          </w:tcPr>
          <w:p>
            <w:pPr>
              <w:spacing w:after="0"/>
              <w:rPr>
                <w:sz w:val="19"/>
                <w:szCs w:val="19"/>
                <w:color w:val="auto"/>
              </w:rPr>
            </w:pPr>
          </w:p>
        </w:tc>
      </w:tr>
      <w:tr>
        <w:trPr>
          <w:trHeight w:val="230"/>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O.co HK Limited (HK)</w:t>
            </w:r>
          </w:p>
        </w:tc>
        <w:tc>
          <w:tcPr>
            <w:tcW w:w="2640" w:type="dxa"/>
            <w:vAlign w:val="bottom"/>
          </w:tcPr>
          <w:p>
            <w:pPr>
              <w:spacing w:after="0"/>
              <w:rPr>
                <w:sz w:val="19"/>
                <w:szCs w:val="19"/>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2680" w:type="dxa"/>
            <w:vAlign w:val="bottom"/>
          </w:tcPr>
          <w:p>
            <w:pPr>
              <w:spacing w:after="0"/>
              <w:rPr>
                <w:sz w:val="19"/>
                <w:szCs w:val="19"/>
                <w:color w:val="auto"/>
              </w:rPr>
            </w:pPr>
          </w:p>
        </w:tc>
      </w:tr>
      <w:tr>
        <w:trPr>
          <w:trHeight w:val="229"/>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 Warehouse, LLC</w:t>
            </w:r>
          </w:p>
        </w:tc>
        <w:tc>
          <w:tcPr>
            <w:tcW w:w="264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2680" w:type="dxa"/>
            <w:vAlign w:val="bottom"/>
            <w:shd w:val="clear" w:color="auto" w:fill="CCEEFF"/>
          </w:tcPr>
          <w:p>
            <w:pPr>
              <w:spacing w:after="0"/>
              <w:rPr>
                <w:sz w:val="19"/>
                <w:szCs w:val="19"/>
                <w:color w:val="auto"/>
              </w:rPr>
            </w:pPr>
          </w:p>
        </w:tc>
      </w:tr>
      <w:tr>
        <w:trPr>
          <w:trHeight w:val="229"/>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Peace Coliseum Mezzanine, LLC</w:t>
            </w:r>
          </w:p>
        </w:tc>
        <w:tc>
          <w:tcPr>
            <w:tcW w:w="2640" w:type="dxa"/>
            <w:vAlign w:val="bottom"/>
          </w:tcPr>
          <w:p>
            <w:pPr>
              <w:spacing w:after="0"/>
              <w:rPr>
                <w:sz w:val="19"/>
                <w:szCs w:val="19"/>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680" w:type="dxa"/>
            <w:vAlign w:val="bottom"/>
          </w:tcPr>
          <w:p>
            <w:pPr>
              <w:spacing w:after="0"/>
              <w:rPr>
                <w:sz w:val="19"/>
                <w:szCs w:val="19"/>
                <w:color w:val="auto"/>
              </w:rPr>
            </w:pPr>
          </w:p>
        </w:tc>
      </w:tr>
      <w:tr>
        <w:trPr>
          <w:trHeight w:val="230"/>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Peace Coliseum, LLC</w:t>
            </w:r>
          </w:p>
        </w:tc>
        <w:tc>
          <w:tcPr>
            <w:tcW w:w="264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680" w:type="dxa"/>
            <w:vAlign w:val="bottom"/>
            <w:shd w:val="clear" w:color="auto" w:fill="CCEEFF"/>
          </w:tcPr>
          <w:p>
            <w:pPr>
              <w:spacing w:after="0"/>
              <w:rPr>
                <w:sz w:val="19"/>
                <w:szCs w:val="19"/>
                <w:color w:val="auto"/>
              </w:rPr>
            </w:pPr>
          </w:p>
        </w:tc>
      </w:tr>
    </w:tbl>
    <w:p>
      <w:pPr>
        <w:sectPr>
          <w:pgSz w:w="11900" w:h="16838" w:orient="portrait"/>
          <w:cols w:equalWidth="0" w:num="1">
            <w:col w:w="11200"/>
          </w:cols>
          <w:pgMar w:left="360" w:top="887"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333-123540, 333-124441, 333-160512, 333-162674, 333-181422, 333-184344, 333-203175, 333-203176, 333-256179, and 333-273751) on Form S-8 and (Nos. 333-207141, 333-226729, 333-233913, and 333-239498) on Form S-3 of our reports dated February 23, 2024, with respect to the consolidated financial statements of Beyond, Inc. and the effectiveness of internal control over financial reporting.</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ectPr>
          <w:pgSz w:w="11900" w:h="16838" w:orient="portrait"/>
          <w:cols w:equalWidth="0" w:num="1">
            <w:col w:w="11240"/>
          </w:cols>
          <w:pgMar w:left="320" w:top="887"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23.4</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 Registration Statements on Form S-8 (Nos. 333-123540, 333-124441, 333-160512, 333-162674, 333-181422, 333-184344, 333-203175, 333-203176, 333-256179, and 333-273751) and Registration Statements on Form S-3 (Nos. 333-207141, 333-226729, 333-233913, and 333-239498) of Beyond, Inc., of our report dated December 21, 2023, with respect to the financial statements of Medici Ventures, L.P., included in this Annual Report (Form 10-K) of Beyond, Inc., for the year ended December 31, 2023.</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ectPr>
          <w:pgSz w:w="11900" w:h="16838" w:orient="portrait"/>
          <w:cols w:equalWidth="0" w:num="1">
            <w:col w:w="11240"/>
          </w:cols>
          <w:pgMar w:left="320" w:top="887"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J. Nielsen, certify that:</w:t>
      </w:r>
    </w:p>
    <w:p>
      <w:pPr>
        <w:spacing w:after="0" w:line="225" w:lineRule="exact"/>
        <w:rPr>
          <w:sz w:val="20"/>
          <w:szCs w:val="20"/>
          <w:color w:val="auto"/>
        </w:rPr>
      </w:pPr>
    </w:p>
    <w:p>
      <w:pPr>
        <w:ind w:left="1060" w:hanging="728"/>
        <w:spacing w:after="0"/>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Beyond, Inc.;</w:t>
      </w:r>
    </w:p>
    <w:p>
      <w:pPr>
        <w:spacing w:after="0" w:line="225"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105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620" w:hanging="328"/>
        <w:spacing w:after="0" w:line="312" w:lineRule="auto"/>
        <w:tabs>
          <w:tab w:leader="none" w:pos="101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660" w:right="380" w:hanging="328"/>
        <w:spacing w:after="0" w:line="266" w:lineRule="auto"/>
        <w:tabs>
          <w:tab w:leader="none" w:pos="100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440" w:hanging="324"/>
        <w:spacing w:after="0" w:line="266" w:lineRule="auto"/>
        <w:tabs>
          <w:tab w:leader="none" w:pos="127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128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132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128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620" w:hanging="328"/>
        <w:spacing w:after="0" w:line="266" w:lineRule="auto"/>
        <w:tabs>
          <w:tab w:leader="none" w:pos="105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127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128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2024</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J. NIELSEN</w:t>
            </w:r>
          </w:p>
        </w:tc>
      </w:tr>
      <w:tr>
        <w:trPr>
          <w:trHeight w:val="218"/>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J. Nielsen</w:t>
            </w:r>
          </w:p>
        </w:tc>
      </w:tr>
      <w:tr>
        <w:trPr>
          <w:trHeight w:val="230"/>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Division Chief Executive Officer, Overstock</w:t>
            </w:r>
          </w:p>
        </w:tc>
      </w:tr>
      <w:tr>
        <w:trPr>
          <w:trHeight w:val="234"/>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(Co-Principal Executive Officer)</w:t>
            </w:r>
          </w:p>
        </w:tc>
      </w:tr>
    </w:tbl>
    <w:p>
      <w:pPr>
        <w:sectPr>
          <w:pgSz w:w="11900" w:h="16838" w:orient="portrait"/>
          <w:cols w:equalWidth="0" w:num="1">
            <w:col w:w="11240"/>
          </w:cols>
          <w:pgMar w:left="320" w:top="88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Chandra Holt, certify that:</w:t>
      </w:r>
    </w:p>
    <w:p>
      <w:pPr>
        <w:spacing w:after="0" w:line="225" w:lineRule="exact"/>
        <w:rPr>
          <w:sz w:val="20"/>
          <w:szCs w:val="20"/>
          <w:color w:val="auto"/>
        </w:rPr>
      </w:pPr>
    </w:p>
    <w:p>
      <w:pPr>
        <w:ind w:left="1060" w:hanging="728"/>
        <w:spacing w:after="0"/>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Beyond, Inc.;</w:t>
      </w:r>
    </w:p>
    <w:p>
      <w:pPr>
        <w:spacing w:after="0" w:line="225"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105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620" w:hanging="328"/>
        <w:spacing w:after="0" w:line="312" w:lineRule="auto"/>
        <w:tabs>
          <w:tab w:leader="none" w:pos="1011"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660" w:right="380" w:hanging="328"/>
        <w:spacing w:after="0" w:line="266" w:lineRule="auto"/>
        <w:tabs>
          <w:tab w:leader="none" w:pos="100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440" w:hanging="324"/>
        <w:spacing w:after="0" w:line="266" w:lineRule="auto"/>
        <w:tabs>
          <w:tab w:leader="none" w:pos="127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128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132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128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620" w:hanging="328"/>
        <w:spacing w:after="0" w:line="266" w:lineRule="auto"/>
        <w:tabs>
          <w:tab w:leader="none" w:pos="10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127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128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2024</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CHANDRA HOLT</w:t>
            </w:r>
          </w:p>
        </w:tc>
      </w:tr>
      <w:tr>
        <w:trPr>
          <w:trHeight w:val="218"/>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Chandra Holt</w:t>
            </w:r>
          </w:p>
        </w:tc>
      </w:tr>
      <w:tr>
        <w:trPr>
          <w:trHeight w:val="230"/>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Division Chief Executive Officer, Bed Bath &amp; Beyond</w:t>
            </w:r>
          </w:p>
        </w:tc>
      </w:tr>
      <w:tr>
        <w:trPr>
          <w:trHeight w:val="234"/>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(Co-Principal Executive Officer)</w:t>
            </w:r>
          </w:p>
        </w:tc>
      </w:tr>
    </w:tbl>
    <w:p>
      <w:pPr>
        <w:sectPr>
          <w:pgSz w:w="11900" w:h="16838" w:orient="portrait"/>
          <w:cols w:equalWidth="0" w:num="1">
            <w:col w:w="11240"/>
          </w:cols>
          <w:pgMar w:left="320" w:top="887"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Adrianne B. Lee, certify that:</w:t>
      </w:r>
    </w:p>
    <w:p>
      <w:pPr>
        <w:spacing w:after="0" w:line="225" w:lineRule="exact"/>
        <w:rPr>
          <w:sz w:val="20"/>
          <w:szCs w:val="20"/>
          <w:color w:val="auto"/>
        </w:rPr>
      </w:pPr>
    </w:p>
    <w:p>
      <w:pPr>
        <w:ind w:left="1060" w:hanging="728"/>
        <w:spacing w:after="0"/>
        <w:tabs>
          <w:tab w:leader="none" w:pos="10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Beyond, Inc.;</w:t>
      </w:r>
    </w:p>
    <w:p>
      <w:pPr>
        <w:spacing w:after="0" w:line="225"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10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620" w:hanging="328"/>
        <w:spacing w:after="0" w:line="312" w:lineRule="auto"/>
        <w:tabs>
          <w:tab w:leader="none" w:pos="1011"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660" w:right="380" w:hanging="328"/>
        <w:spacing w:after="0" w:line="266" w:lineRule="auto"/>
        <w:tabs>
          <w:tab w:leader="none" w:pos="100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440" w:hanging="324"/>
        <w:spacing w:after="0" w:line="266" w:lineRule="auto"/>
        <w:tabs>
          <w:tab w:leader="none" w:pos="127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128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132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128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620" w:hanging="328"/>
        <w:spacing w:after="0" w:line="266" w:lineRule="auto"/>
        <w:tabs>
          <w:tab w:leader="none" w:pos="10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127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128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2024</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ADRIANNE B. LEE</w:t>
            </w:r>
          </w:p>
        </w:tc>
      </w:tr>
      <w:tr>
        <w:trPr>
          <w:trHeight w:val="218"/>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Adrianne B. Lee</w:t>
            </w:r>
          </w:p>
        </w:tc>
      </w:tr>
      <w:tr>
        <w:trPr>
          <w:trHeight w:val="230"/>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&amp; Administrative Officer</w:t>
            </w:r>
          </w:p>
        </w:tc>
      </w:tr>
      <w:tr>
        <w:trPr>
          <w:trHeight w:val="234"/>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ectPr>
          <w:pgSz w:w="11900" w:h="16838" w:orient="portrait"/>
          <w:cols w:equalWidth="0" w:num="1">
            <w:col w:w="11240"/>
          </w:cols>
          <w:pgMar w:left="320" w:top="887"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 David J. Nielsen, certify, pursuant to 18 U.S.C. Section 1350, as adopted pursuant to Section 906 of the Sarbanes-Oxley Act of 2002, as amended, that the Annual Report on Form 10-K of Beyond, Inc. for the year ended December 31, 2023 (the "Report") fully complies with the requirements of Section 13(a) or 15(d) of the Securities Exchange Act of 1934, as amended, and that information contained in such Report fairly presents in all material respects the financial condition and results of operations of Beyond, Inc.</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2024</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J. NIELSEN</w:t>
            </w:r>
          </w:p>
        </w:tc>
      </w:tr>
      <w:tr>
        <w:trPr>
          <w:trHeight w:val="218"/>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J. Nielsen</w:t>
            </w:r>
          </w:p>
        </w:tc>
      </w:tr>
      <w:tr>
        <w:trPr>
          <w:trHeight w:val="230"/>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Division Chief Executive Officer, Overstock</w:t>
            </w:r>
          </w:p>
        </w:tc>
      </w:tr>
      <w:tr>
        <w:trPr>
          <w:trHeight w:val="234"/>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(Co-Principal Executive Officer)</w:t>
            </w:r>
          </w:p>
        </w:tc>
      </w:tr>
    </w:tbl>
    <w:p>
      <w:pPr>
        <w:sectPr>
          <w:pgSz w:w="11900" w:h="16838" w:orient="portrait"/>
          <w:cols w:equalWidth="0" w:num="1">
            <w:col w:w="11240"/>
          </w:cols>
          <w:pgMar w:left="320" w:top="88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 Chandra Holt, certify, pursuant to 18 U.S.C. Section 1350, as adopted pursuant to Section 906 of the Sarbanes-Oxley Act of 2002, as amended, that the Annual Report on Form 10-K of Beyond, Inc. for the year ended December 31, 2023 (the "Report") fully complies with the requirements of</w:t>
      </w:r>
    </w:p>
    <w:p>
      <w:pPr>
        <w:ind w:right="320"/>
        <w:spacing w:after="0" w:line="260" w:lineRule="auto"/>
        <w:rPr>
          <w:sz w:val="20"/>
          <w:szCs w:val="20"/>
          <w:color w:val="auto"/>
        </w:rPr>
      </w:pPr>
      <w:r>
        <w:rPr>
          <w:rFonts w:ascii="Times New Roman" w:cs="Times New Roman" w:eastAsia="Times New Roman" w:hAnsi="Times New Roman"/>
          <w:sz w:val="18"/>
          <w:szCs w:val="18"/>
          <w:color w:val="auto"/>
        </w:rPr>
        <w:t>Section 13(a) or 15(d) of the Securities Exchange Act of 1934, as amended, and that information contained in such Report fairly presents in all material respects the financial condition and results of operations of Beyond, Inc.</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2024</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CHANDRA HOLT</w:t>
            </w:r>
          </w:p>
        </w:tc>
      </w:tr>
      <w:tr>
        <w:trPr>
          <w:trHeight w:val="218"/>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Chandra Holt</w:t>
            </w:r>
          </w:p>
        </w:tc>
      </w:tr>
      <w:tr>
        <w:trPr>
          <w:trHeight w:val="230"/>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Division Chief Executive Officer, Bed Bath &amp; Beyond</w:t>
            </w:r>
          </w:p>
        </w:tc>
      </w:tr>
      <w:tr>
        <w:trPr>
          <w:trHeight w:val="234"/>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(Co-Principal Executive Officer)</w:t>
            </w:r>
          </w:p>
        </w:tc>
      </w:tr>
    </w:tbl>
    <w:p>
      <w:pPr>
        <w:sectPr>
          <w:pgSz w:w="11900" w:h="16838" w:orient="portrait"/>
          <w:cols w:equalWidth="0" w:num="1">
            <w:col w:w="11240"/>
          </w:cols>
          <w:pgMar w:left="320" w:top="88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 Adrianne B. Lee, certify, pursuant to 18 U.S.C. Section 1350, as adopted pursuant to Section 906 of the Sarbanes-Oxley Act of 2002, as amended, that the Annual Report on Form 10-K of Beyond, Inc. for the year ended December 31, 2023 (the "Report") fully complies with the requirements of Section 13(a) or 15(d) of the Securities Exchange Act of 1934, as amended, and that information contained in such Report fairly presents in all material respects the financial condition and results of operations of Beyond, Inc.</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2024</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ADRIANNE B. LEE</w:t>
            </w:r>
          </w:p>
        </w:tc>
      </w:tr>
      <w:tr>
        <w:trPr>
          <w:trHeight w:val="218"/>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Adrianne B. Lee</w:t>
            </w:r>
          </w:p>
        </w:tc>
      </w:tr>
      <w:tr>
        <w:trPr>
          <w:trHeight w:val="230"/>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&amp; Administrative Officer</w:t>
            </w:r>
          </w:p>
        </w:tc>
      </w:tr>
      <w:tr>
        <w:trPr>
          <w:trHeight w:val="234"/>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ectPr>
          <w:pgSz w:w="11900" w:h="16838" w:orient="portrait"/>
          <w:cols w:equalWidth="0" w:num="1">
            <w:col w:w="11240"/>
          </w:cols>
          <w:pgMar w:left="320" w:top="88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INCENTIVE COMPENSATION RECOVERY POLICY</w:t>
      </w:r>
    </w:p>
    <w:p>
      <w:pPr>
        <w:spacing w:after="0" w:line="252"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Introduction</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Beyond, Inc. (the “Company”) has adopted this Incentive Compensation Recovery Policy (this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to comply with both Nasdaq Listing Rule 5608 and Section 303A.14 of the NYSE Listed Company Manual, each of which provides for the recovery of certain executive compensation in the event of an Accounting Restatement resulting from material noncompliance with financial reporting requirements under the U.S. federal securities laws.</w:t>
      </w:r>
    </w:p>
    <w:p>
      <w:pPr>
        <w:spacing w:after="0" w:line="203"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p>
    <w:p>
      <w:pPr>
        <w:spacing w:after="0" w:line="2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This Policy shall be administered by the Compensation Committee of the Board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Any determinations made by the Committee shall be final and binding on all affected individuals.</w:t>
      </w:r>
    </w:p>
    <w:p>
      <w:pPr>
        <w:spacing w:after="0" w:line="18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Policy, the following capitalized terms shall have the meanings set forth below:</w:t>
      </w:r>
    </w:p>
    <w:p>
      <w:pPr>
        <w:spacing w:after="0" w:line="248" w:lineRule="exact"/>
        <w:rPr>
          <w:sz w:val="20"/>
          <w:szCs w:val="20"/>
          <w:color w:val="auto"/>
        </w:rPr>
      </w:pPr>
    </w:p>
    <w:p>
      <w:pPr>
        <w:jc w:val="both"/>
        <w:ind w:left="660" w:hanging="328"/>
        <w:spacing w:after="0" w:line="259" w:lineRule="auto"/>
        <w:tabs>
          <w:tab w:leader="none" w:pos="65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Restatement</w:t>
      </w:r>
      <w:r>
        <w:rPr>
          <w:rFonts w:ascii="Times New Roman" w:cs="Times New Roman" w:eastAsia="Times New Roman" w:hAnsi="Times New Roman"/>
          <w:sz w:val="18"/>
          <w:szCs w:val="18"/>
          <w:color w:val="auto"/>
        </w:rPr>
        <w:t>” means an accounting restatement due to the material noncompliance of the Company with any financial reporting requirement under the U.S. federal securities laws, including any required accounting restatement (i) to correct an error in previously issued financial statements that is material to the previously issued financial statements (a “Big R” restatement), or (ii) that corrects an error that is not material to previously issued financial statements, but would result in a material misstatement if the error were not corrected the current period or left uncorrected in the current period (a “little r” restatement).</w:t>
      </w:r>
    </w:p>
    <w:p>
      <w:pPr>
        <w:spacing w:after="0" w:line="206"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Executives</w:t>
      </w:r>
      <w:r>
        <w:rPr>
          <w:rFonts w:ascii="Times New Roman" w:cs="Times New Roman" w:eastAsia="Times New Roman" w:hAnsi="Times New Roman"/>
          <w:sz w:val="18"/>
          <w:szCs w:val="18"/>
          <w:color w:val="auto"/>
        </w:rPr>
        <w:t>” means the Company’s current and former Executive Officers, as determined by the Committee in accordance with Section 10D of the Exchange Act and the listing standards of Nasdaq or the NYSE, as applicable.</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November 30, 2023.</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71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Erroneously Awarded Compensation</w:t>
      </w:r>
      <w:r>
        <w:rPr>
          <w:rFonts w:ascii="Times New Roman" w:cs="Times New Roman" w:eastAsia="Times New Roman" w:hAnsi="Times New Roman"/>
          <w:sz w:val="18"/>
          <w:szCs w:val="18"/>
          <w:color w:val="auto"/>
        </w:rPr>
        <w:t>” means, with respect to each Covered Executive in connection with an Accounting Restatement, the amount of Recovery Eligible Incentive-based Compensation that exceeds the amount of Recovery Eligible Incentive-based Compensation that otherwise would have been Received had it been determined based on the restated amounts, computed without regard to any taxes paid.</w:t>
      </w:r>
    </w:p>
    <w:p>
      <w:pPr>
        <w:spacing w:after="0" w:line="19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(including any executive officer of the Company’s affiliates) who performs similar policy-making functions for the Company. The term “Executive Officer” includes, without limitation, those officers identified by the Company in any disclosure made pursuant to the requirements of Regulation S-K Item 401(b).</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Reporting Measures</w:t>
      </w:r>
      <w:r>
        <w:rPr>
          <w:rFonts w:ascii="Times New Roman" w:cs="Times New Roman" w:eastAsia="Times New Roman" w:hAnsi="Times New Roman"/>
          <w:sz w:val="18"/>
          <w:szCs w:val="18"/>
          <w:color w:val="auto"/>
        </w:rPr>
        <w:t>” means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spacing w:after="0" w:line="206" w:lineRule="exact"/>
        <w:rPr>
          <w:rFonts w:ascii="Times New Roman" w:cs="Times New Roman" w:eastAsia="Times New Roman" w:hAnsi="Times New Roman"/>
          <w:sz w:val="18"/>
          <w:szCs w:val="18"/>
          <w:color w:val="auto"/>
        </w:rPr>
      </w:pPr>
    </w:p>
    <w:p>
      <w:pPr>
        <w:ind w:left="660" w:hanging="328"/>
        <w:spacing w:after="0" w:line="286"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Incentive-based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means the New York Stock Exchange.</w:t>
      </w:r>
    </w:p>
    <w:p>
      <w:pPr>
        <w:sectPr>
          <w:pgSz w:w="11900" w:h="16838" w:orient="portrait"/>
          <w:cols w:equalWidth="0" w:num="1">
            <w:col w:w="11240"/>
          </w:cols>
          <w:pgMar w:left="320" w:top="887" w:right="339" w:bottom="1440" w:gutter="0" w:footer="0" w:header="0"/>
        </w:sectPr>
      </w:pPr>
    </w:p>
    <w:bookmarkStart w:id="99" w:name="page100"/>
    <w:bookmarkEnd w:id="99"/>
    <w:p>
      <w:pPr>
        <w:jc w:val="both"/>
        <w:ind w:left="328" w:hanging="328"/>
        <w:spacing w:after="0" w:line="268" w:lineRule="auto"/>
        <w:tabs>
          <w:tab w:leader="none" w:pos="32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w:t>
      </w:r>
    </w:p>
    <w:p>
      <w:pPr>
        <w:spacing w:after="0" w:line="197" w:lineRule="exact"/>
        <w:rPr>
          <w:rFonts w:ascii="Times New Roman" w:cs="Times New Roman" w:eastAsia="Times New Roman" w:hAnsi="Times New Roman"/>
          <w:sz w:val="18"/>
          <w:szCs w:val="18"/>
          <w:color w:val="auto"/>
        </w:rPr>
      </w:pPr>
    </w:p>
    <w:p>
      <w:pPr>
        <w:jc w:val="both"/>
        <w:ind w:left="328" w:hanging="328"/>
        <w:spacing w:after="0" w:line="257" w:lineRule="auto"/>
        <w:tabs>
          <w:tab w:leader="none" w:pos="32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Recovery Eligible Incentive-based Compensation</w:t>
      </w:r>
      <w:r>
        <w:rPr>
          <w:rFonts w:ascii="Times New Roman" w:cs="Times New Roman" w:eastAsia="Times New Roman" w:hAnsi="Times New Roman"/>
          <w:sz w:val="18"/>
          <w:szCs w:val="18"/>
          <w:color w:val="auto"/>
        </w:rPr>
        <w:t>” means, in connection with an Accounting Restatement and with respect to each individual who served as a Covered Executive at any time during the applicable performance period for any Incentive-based Compensation (whether or not such Covered Executive is serving at the time the Erroneously Awarded Compensation is required to be repaid to the Company), all Incentive-based Compensation Received by such Covered Executive (i) on or after the October 2, 2023, (ii) after beginning service as a Covered Executive, (iii) while the Company has a class of securities listed on a national securities exchange or a national securities association, and (iv) during the applicable Recovery Period.</w:t>
      </w:r>
    </w:p>
    <w:p>
      <w:pPr>
        <w:spacing w:after="0" w:line="209" w:lineRule="exact"/>
        <w:rPr>
          <w:rFonts w:ascii="Times New Roman" w:cs="Times New Roman" w:eastAsia="Times New Roman" w:hAnsi="Times New Roman"/>
          <w:sz w:val="18"/>
          <w:szCs w:val="18"/>
          <w:color w:val="auto"/>
        </w:rPr>
      </w:pPr>
    </w:p>
    <w:p>
      <w:pPr>
        <w:jc w:val="both"/>
        <w:ind w:left="328" w:hanging="328"/>
        <w:spacing w:after="0" w:line="268" w:lineRule="auto"/>
        <w:tabs>
          <w:tab w:leader="none" w:pos="3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Recovery Period</w:t>
      </w:r>
      <w:r>
        <w:rPr>
          <w:rFonts w:ascii="Times New Roman" w:cs="Times New Roman" w:eastAsia="Times New Roman" w:hAnsi="Times New Roman"/>
          <w:sz w:val="18"/>
          <w:szCs w:val="18"/>
          <w:color w:val="auto"/>
        </w:rPr>
        <w:t>” means,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197" w:lineRule="exact"/>
        <w:rPr>
          <w:rFonts w:ascii="Times New Roman" w:cs="Times New Roman" w:eastAsia="Times New Roman" w:hAnsi="Times New Roman"/>
          <w:sz w:val="18"/>
          <w:szCs w:val="18"/>
          <w:color w:val="auto"/>
        </w:rPr>
      </w:pPr>
    </w:p>
    <w:p>
      <w:pPr>
        <w:jc w:val="both"/>
        <w:ind w:left="328" w:hanging="328"/>
        <w:spacing w:after="0" w:line="262" w:lineRule="auto"/>
        <w:tabs>
          <w:tab w:leader="none" w:pos="32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Restatement Date</w:t>
      </w:r>
      <w:r>
        <w:rPr>
          <w:rFonts w:ascii="Times New Roman" w:cs="Times New Roman" w:eastAsia="Times New Roman" w:hAnsi="Times New Roman"/>
          <w:sz w:val="18"/>
          <w:szCs w:val="18"/>
          <w:color w:val="auto"/>
        </w:rPr>
        <w:t>” means the earlier to occur of (i) (A) the date the Board, or (B) the date a committee of the Board or the officers of the Company authorized to take such action if Board action is not required, concludes, or reasonably should have concluded, that the Company is required to prepare an Accounting Restatement, and (ii) the date a court, regulator or other legally authorized body directs the Company to prepare an Accounting Restatement.</w:t>
      </w:r>
    </w:p>
    <w:p>
      <w:pPr>
        <w:spacing w:after="0" w:line="203"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52" w:lineRule="exact"/>
        <w:rPr>
          <w:sz w:val="20"/>
          <w:szCs w:val="20"/>
          <w:color w:val="auto"/>
        </w:rPr>
      </w:pPr>
    </w:p>
    <w:p>
      <w:pPr>
        <w:ind w:left="328" w:hanging="328"/>
        <w:spacing w:after="0"/>
        <w:tabs>
          <w:tab w:leader="none" w:pos="328"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Repayment of Erroneously Awarded Compensation; Method of Recovery</w:t>
      </w:r>
    </w:p>
    <w:p>
      <w:pPr>
        <w:spacing w:after="0" w:line="256" w:lineRule="exact"/>
        <w:rPr>
          <w:sz w:val="20"/>
          <w:szCs w:val="20"/>
          <w:color w:val="auto"/>
        </w:rPr>
      </w:pPr>
    </w:p>
    <w:p>
      <w:pPr>
        <w:jc w:val="both"/>
        <w:ind w:left="328" w:hanging="328"/>
        <w:spacing w:after="0" w:line="254" w:lineRule="auto"/>
        <w:tabs>
          <w:tab w:leader="none" w:pos="32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Accounting Restatement, the Committee shall take reasonably prompt action after the Restatement Date to determine the amount of any Erroneously Awarded Compensation for each Covered Executive in connection with such Accounting Restatement and, thereafter, shall promptly provide each Covered Executive with a written notice containing the amount of Erroneously Awarded Compensation and a demand for repayment or return, as applicable.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Nasdaq or the NYSE, as applicable).</w:t>
      </w:r>
    </w:p>
    <w:p>
      <w:pPr>
        <w:spacing w:after="0" w:line="215"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shall have broad discretion to determine the appropriate means of recovery of Erroneously Awarded Compensation based on all applicable facts and circumstances and taking into account the time value of money and the cost to shareholders of delaying recovery, including without limitation (i) requiring reimbursement of cash Incentive-based Compensation previously paid; (ii) seeking recovery of any gain realized on the vesting, exercise, settlement, sale, transfer, or other disposition of any equity-based awards; (iii) offsetting the amount of any Erroneously Awarded Compensation from any compensation otherwise owed by the Company to the Covered Executive; (iv) cancelling outstanding vested or unvested equity awards; and/or (v) taking any other remedial and recovery action permitted by law. For the avoidance of doubt, except as set forth in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below, in no event may the Company accept an amount that is less than the amount of Erroneously Awarded Compensation in satisfaction of a Covered Executive’s obligations hereunder.</w:t>
      </w:r>
    </w:p>
    <w:p>
      <w:pPr>
        <w:spacing w:after="0" w:line="218"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a Covered Executive fails to repay all Erroneously Awarded Compensation to the Company when due (as determined in accordance with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above), the Company shall take all actions reasonable and appropriate to recover such Erroneously Awarded Compensation from the applicable Covered Executive. The applicable Covered Executive shall be required to reimburse the Company for any and all expenses reasonably incurred (including legal fees) by the Company in recovering such Erroneously Awarded Compensation in accordance with the immediately preceding sentence.</w:t>
      </w:r>
    </w:p>
    <w:p>
      <w:pPr>
        <w:spacing w:after="0" w:line="210" w:lineRule="exact"/>
        <w:rPr>
          <w:rFonts w:ascii="Times New Roman" w:cs="Times New Roman" w:eastAsia="Times New Roman" w:hAnsi="Times New Roman"/>
          <w:sz w:val="18"/>
          <w:szCs w:val="18"/>
          <w:color w:val="auto"/>
        </w:rPr>
      </w:pPr>
    </w:p>
    <w:p>
      <w:pPr>
        <w:ind w:left="328" w:hanging="328"/>
        <w:spacing w:after="0" w:line="282" w:lineRule="auto"/>
        <w:tabs>
          <w:tab w:leader="none" w:pos="32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the Company shall not be required to take the actions contemplated by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above if the following conditions are met and the Committee determines that recovery would be impracticable:</w:t>
      </w:r>
    </w:p>
    <w:p>
      <w:pPr>
        <w:sectPr>
          <w:pgSz w:w="11900" w:h="16838" w:orient="portrait"/>
          <w:cols w:equalWidth="0" w:num="1">
            <w:col w:w="10908"/>
          </w:cols>
          <w:pgMar w:left="652" w:top="1130" w:right="339" w:bottom="1440" w:gutter="0" w:footer="0" w:header="0"/>
        </w:sectPr>
      </w:pPr>
    </w:p>
    <w:bookmarkStart w:id="100" w:name="page101"/>
    <w:bookmarkEnd w:id="100"/>
    <w:p>
      <w:pPr>
        <w:jc w:val="both"/>
        <w:ind w:left="1300" w:hanging="320"/>
        <w:spacing w:after="0" w:line="266" w:lineRule="auto"/>
        <w:tabs>
          <w:tab w:leader="none" w:pos="12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expenses paid to a third party to assist in enforcing this Policy against a Covered Executive would exceed the amount to be recovered, after the Company has made a reasonable attempt to recover the applicable Erroneously Awarded Compensation, documented such attempts and provided such documentation to Nasdaq or the NYSE, as applicable;</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9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Nasdaq or the NYSE, as applicable) that recovery would result in such a violation and a copy of the opinion is provided to Nasdaq or the NYSE, as applicable; or</w:t>
      </w:r>
    </w:p>
    <w:p>
      <w:pPr>
        <w:spacing w:after="0" w:line="206"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requirements of 26 U.S.C. 401(a)(13) or 26 U.S.C. 411(a) and the regulations thereunder.</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Acknowledgement by Covered Executives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Committee shall provide notice of this Policy to, and seek written acknowledgement of this Policy from, each Covered Executive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provided that the failure to provide such notice or obtain such acknowledgement shall have no impact on the applicability or enforceability of this Policy.</w:t>
      </w:r>
    </w:p>
    <w:p>
      <w:pPr>
        <w:spacing w:after="0" w:line="199"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Reporting and Disclosure</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shall make all disclosures with respect to this Policy in accordance with the requirements of the U.S. federal securities laws, including the disclosure required by applicable SEC filings.</w:t>
      </w:r>
    </w:p>
    <w:p>
      <w:pPr>
        <w:spacing w:after="0" w:line="18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Indemnification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terms of any of the Company’s organizational documents, any corporate policy or any contract, the Company shall not indemnify any Covered Executive against the loss of any Erroneously Awarded Compensation or any claims relating to the Company’s enforcement of its rights under this Policy nor shall the Company pay or reimburse any Covered executive for any insurance premium to cover the loss of any Erroneously Awarded Compensation.</w:t>
      </w:r>
    </w:p>
    <w:p>
      <w:pPr>
        <w:spacing w:after="0" w:line="203"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Interpretation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Committee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 or any national securities exchange or national securities association on which the Company’s securities are listed.</w:t>
      </w:r>
    </w:p>
    <w:p>
      <w:pPr>
        <w:spacing w:after="0" w:line="203"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Effective Date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shall be effective as of the Effective Date.</w:t>
      </w:r>
    </w:p>
    <w:p>
      <w:pPr>
        <w:spacing w:after="0" w:line="248"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Termination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may amend this Policy from time to time in its discretion and shall amend this Policy as it deems necessary to reflect final regulations adopted by the SEC under Section 10D of the Exchange Act and to comply with any rules or standards adopted by any national securities exchange or national securities association on which the Company’s securities are listed. The Board may terminate this Policy at any time. Notwithstanding the foregoing, no amendment or termination of this Policy shall be effective if such amendment or termination would (after taking into account any actions taken by the Company contemporaneously with such amendment or termination) cause the Company to violate any U.S. federal securities laws, SEC rule or the rules of any national securities exchange or national securities association on which the Company’s securities are listed.</w:t>
      </w:r>
    </w:p>
    <w:p>
      <w:pPr>
        <w:sectPr>
          <w:pgSz w:w="11900" w:h="16838" w:orient="portrait"/>
          <w:cols w:equalWidth="0" w:num="1">
            <w:col w:w="11240"/>
          </w:cols>
          <w:pgMar w:left="320" w:top="1134" w:right="339" w:bottom="1440" w:gutter="0" w:footer="0" w:header="0"/>
        </w:sectPr>
      </w:pPr>
    </w:p>
    <w:bookmarkStart w:id="101" w:name="page102"/>
    <w:bookmarkEnd w:id="101"/>
    <w:p>
      <w:pPr>
        <w:ind w:left="640" w:hanging="308"/>
        <w:spacing w:after="0"/>
        <w:tabs>
          <w:tab w:leader="none" w:pos="6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Recovery Rights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intends that this Policy will be applied to the fullest extent of the law. The Committee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recovery under this Policy is in addition to, and not in lieu of, any other remedies or rights of recovery that may be available to the Company under applicable law, regulation or rule or pursuant to the terms of any similar policy, whether or not included in any employment agreement, equity award agreement, or similar agreement, and any other legal remedies or rights available to the Company.</w:t>
      </w:r>
    </w:p>
    <w:p>
      <w:pPr>
        <w:spacing w:after="0" w:line="210"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Successors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Executives and their beneficiaries, heirs, executors, administrators or other legal representatives.</w:t>
      </w:r>
    </w:p>
    <w:p>
      <w:pPr>
        <w:sectPr>
          <w:pgSz w:w="11900" w:h="16838" w:orient="portrait"/>
          <w:cols w:equalWidth="0" w:num="1">
            <w:col w:w="11240"/>
          </w:cols>
          <w:pgMar w:left="320" w:top="887"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BEYOND, INC. (the “Company”)</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INCENTIVE COMPENSATION RECOVERY POLICY ACKNOWLEDGEMENT FORM</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By signing below, the undersigned (i) acknowledges and confirms that the undersigned has received and reviewed a copy of the Company’s Incentive Compensation Recovery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and (ii) acknowledges and agrees that the undersigned is and will continue to be subject to the Policy and that the Policy will apply both during and after the undersigned’s employment with the Company. Further, by signing below, the undersigned agrees to abide by the terms of the Policy, including, without limitation, by returning any Erroneously Awarded Compensation (as defined in the Policy) to the Company to the extent required by, and in a manner permitted by, the Policy.</w:t>
      </w:r>
    </w:p>
    <w:p>
      <w:pPr>
        <w:spacing w:after="0" w:line="200" w:lineRule="exact"/>
        <w:rPr>
          <w:sz w:val="20"/>
          <w:szCs w:val="20"/>
          <w:color w:val="auto"/>
        </w:rPr>
      </w:pPr>
    </w:p>
    <w:p>
      <w:pPr>
        <w:spacing w:after="0" w:line="294"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Signature</w:t>
      </w:r>
    </w:p>
    <w:p>
      <w:pPr>
        <w:spacing w:after="0" w:line="288"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Print Name: _________________________________</w:t>
      </w:r>
    </w:p>
    <w:p>
      <w:pPr>
        <w:spacing w:after="0" w:line="29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Date: _______________________________________</w:t>
      </w:r>
    </w:p>
    <w:p>
      <w:pPr>
        <w:sectPr>
          <w:pgSz w:w="11900" w:h="16838" w:orient="portrait"/>
          <w:cols w:equalWidth="0" w:num="1">
            <w:col w:w="11240"/>
          </w:cols>
          <w:pgMar w:left="320" w:top="88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00"/>
        <w:spacing w:after="0"/>
        <w:rPr>
          <w:sz w:val="20"/>
          <w:szCs w:val="20"/>
          <w:color w:val="auto"/>
        </w:rPr>
      </w:pPr>
      <w:r>
        <w:rPr>
          <w:rFonts w:ascii="Arial" w:cs="Arial" w:eastAsia="Arial" w:hAnsi="Arial"/>
          <w:sz w:val="27"/>
          <w:szCs w:val="27"/>
          <w:b w:val="1"/>
          <w:bCs w:val="1"/>
          <w:color w:val="auto"/>
        </w:rPr>
        <w:t>MEDICI VENTURES, L.P.</w:t>
      </w:r>
    </w:p>
    <w:p>
      <w:pPr>
        <w:spacing w:after="0" w:line="42" w:lineRule="exact"/>
        <w:rPr>
          <w:sz w:val="20"/>
          <w:szCs w:val="20"/>
          <w:color w:val="auto"/>
        </w:rPr>
      </w:pPr>
    </w:p>
    <w:p>
      <w:pPr>
        <w:jc w:val="center"/>
        <w:ind w:right="1100"/>
        <w:spacing w:after="0"/>
        <w:rPr>
          <w:sz w:val="20"/>
          <w:szCs w:val="20"/>
          <w:color w:val="auto"/>
        </w:rPr>
      </w:pPr>
      <w:r>
        <w:rPr>
          <w:rFonts w:ascii="Arial" w:cs="Arial" w:eastAsia="Arial" w:hAnsi="Arial"/>
          <w:sz w:val="27"/>
          <w:szCs w:val="27"/>
          <w:color w:val="auto"/>
        </w:rPr>
        <w:t>(A Delaware Limited Partnership)</w:t>
      </w:r>
    </w:p>
    <w:p>
      <w:pPr>
        <w:spacing w:after="0" w:line="204" w:lineRule="exact"/>
        <w:rPr>
          <w:sz w:val="20"/>
          <w:szCs w:val="20"/>
          <w:color w:val="auto"/>
        </w:rPr>
      </w:pPr>
    </w:p>
    <w:p>
      <w:pPr>
        <w:jc w:val="center"/>
        <w:ind w:right="1100"/>
        <w:spacing w:after="0"/>
        <w:rPr>
          <w:sz w:val="20"/>
          <w:szCs w:val="20"/>
          <w:color w:val="auto"/>
        </w:rPr>
      </w:pPr>
      <w:r>
        <w:rPr>
          <w:rFonts w:ascii="Arial" w:cs="Arial" w:eastAsia="Arial" w:hAnsi="Arial"/>
          <w:sz w:val="27"/>
          <w:szCs w:val="27"/>
          <w:color w:val="auto"/>
        </w:rPr>
        <w:t>Financial Statements</w:t>
      </w:r>
    </w:p>
    <w:p>
      <w:pPr>
        <w:spacing w:after="0" w:line="230" w:lineRule="exact"/>
        <w:rPr>
          <w:sz w:val="20"/>
          <w:szCs w:val="20"/>
          <w:color w:val="auto"/>
        </w:rPr>
      </w:pPr>
    </w:p>
    <w:p>
      <w:pPr>
        <w:jc w:val="center"/>
        <w:ind w:right="1100"/>
        <w:spacing w:after="0"/>
        <w:rPr>
          <w:sz w:val="20"/>
          <w:szCs w:val="20"/>
          <w:color w:val="auto"/>
        </w:rPr>
      </w:pPr>
      <w:r>
        <w:rPr>
          <w:rFonts w:ascii="Arial" w:cs="Arial" w:eastAsia="Arial" w:hAnsi="Arial"/>
          <w:sz w:val="27"/>
          <w:szCs w:val="27"/>
          <w:color w:val="auto"/>
        </w:rPr>
        <w:t>September 30, 2023</w:t>
      </w:r>
    </w:p>
    <w:p>
      <w:pPr>
        <w:spacing w:after="0" w:line="230" w:lineRule="exact"/>
        <w:rPr>
          <w:sz w:val="20"/>
          <w:szCs w:val="20"/>
          <w:color w:val="auto"/>
        </w:rPr>
      </w:pPr>
    </w:p>
    <w:p>
      <w:pPr>
        <w:jc w:val="center"/>
        <w:ind w:right="1100"/>
        <w:spacing w:after="0"/>
        <w:rPr>
          <w:sz w:val="20"/>
          <w:szCs w:val="20"/>
          <w:color w:val="auto"/>
        </w:rPr>
      </w:pPr>
      <w:r>
        <w:rPr>
          <w:rFonts w:ascii="Arial" w:cs="Arial" w:eastAsia="Arial" w:hAnsi="Arial"/>
          <w:sz w:val="26"/>
          <w:szCs w:val="26"/>
          <w:color w:val="auto"/>
        </w:rPr>
        <w:t>(With Independent Auditors’ Report Thereon)</w:t>
      </w:r>
    </w:p>
    <w:p>
      <w:pPr>
        <w:sectPr>
          <w:pgSz w:w="11900" w:h="16838" w:orient="portrait"/>
          <w:cols w:equalWidth="0" w:num="1">
            <w:col w:w="10120"/>
          </w:cols>
          <w:pgMar w:left="1440" w:top="927"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2"/>
          <w:szCs w:val="22"/>
          <w:b w:val="1"/>
          <w:bCs w:val="1"/>
          <w:color w:val="auto"/>
        </w:rPr>
        <w:t>Report of Independent Auditors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General Partner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Medici Ventures, L.P.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w:t>
      </w:r>
    </w:p>
    <w:p>
      <w:pPr>
        <w:spacing w:after="0" w:line="16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We have audited the financial statements of Medici Ventures, L.P., (the “Partnership”), which comprise the statement of assets and liabilities, including the schedule of investments, as of September 30, 2023, and the related statements of operations, changes in partners’ capital, and cash flows for the year then ended, and the related notes (collectively referred to as the “financial statements”).</w:t>
      </w:r>
    </w:p>
    <w:p>
      <w:pPr>
        <w:spacing w:after="0" w:line="1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our opinion, the accompanying financial statements present fairly, in all material respects, the financial position of the Partnership at September 30, 2023, and the results of its operations and its cashflows for the year then ended in accordance with accounting principles generally accepted in the United States of America.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Partnership and to meet our other ethical responsibilities in accordance with the relevant ethical requirements relating to our audit. We believe that the audit evidence we have obtained is sufficient and appropriate to provide a basis for our audit opinion.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Responsibilities of Management for the Financial Statements</w:t>
      </w:r>
    </w:p>
    <w:p>
      <w:pPr>
        <w:spacing w:after="0" w:line="16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20"/>
          <w:szCs w:val="20"/>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of material misstatement, whether due to fraud or error.</w:t>
      </w:r>
    </w:p>
    <w:p>
      <w:pPr>
        <w:spacing w:after="0" w:line="10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In preparing the financial statements, management is required to evaluate whether there are conditions or events, considered in the aggregate, that raise substantial doubt about the Partnership’s ability to continue as a going concern for one year after the date that the financial statements are available to be issued.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Auditor’s Responsibilities for the Audit of the Financial Statements</w:t>
      </w:r>
    </w:p>
    <w:p>
      <w:pPr>
        <w:spacing w:after="0" w:line="15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Our objectives are to obtain reasonable assurance about whether the financial statements as a whole are free of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performing an audit in accordance with GAAS, we:</w:t>
      </w:r>
    </w:p>
    <w:p>
      <w:pPr>
        <w:spacing w:after="0" w:line="148" w:lineRule="exact"/>
        <w:rPr>
          <w:sz w:val="20"/>
          <w:szCs w:val="20"/>
          <w:color w:val="auto"/>
        </w:rPr>
      </w:pPr>
    </w:p>
    <w:p>
      <w:pPr>
        <w:ind w:left="640" w:hanging="308"/>
        <w:spacing w:after="0"/>
        <w:tabs>
          <w:tab w:leader="none" w:pos="6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professional judgment and maintain professional skepticism throughout the audit.</w:t>
      </w:r>
    </w:p>
    <w:p>
      <w:pPr>
        <w:spacing w:after="0" w:line="28" w:lineRule="exact"/>
        <w:rPr>
          <w:rFonts w:ascii="Times New Roman" w:cs="Times New Roman" w:eastAsia="Times New Roman" w:hAnsi="Times New Roman"/>
          <w:sz w:val="20"/>
          <w:szCs w:val="20"/>
          <w:color w:val="auto"/>
        </w:rPr>
      </w:pPr>
    </w:p>
    <w:p>
      <w:pPr>
        <w:jc w:val="both"/>
        <w:ind w:left="660" w:right="560" w:hanging="328"/>
        <w:spacing w:after="0" w:line="246" w:lineRule="auto"/>
        <w:tabs>
          <w:tab w:leader="none" w:pos="64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1" w:lineRule="exact"/>
        <w:rPr>
          <w:rFonts w:ascii="Times New Roman" w:cs="Times New Roman" w:eastAsia="Times New Roman" w:hAnsi="Times New Roman"/>
          <w:sz w:val="20"/>
          <w:szCs w:val="20"/>
          <w:color w:val="auto"/>
        </w:rPr>
      </w:pPr>
    </w:p>
    <w:p>
      <w:pPr>
        <w:ind w:left="660" w:right="660" w:hanging="328"/>
        <w:spacing w:after="0" w:line="249" w:lineRule="auto"/>
        <w:tabs>
          <w:tab w:leader="none" w:pos="64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an understanding of internal control relevant to the audit in order to design audit procedures that are appropriate in the circumstances, but not for the purpose of expressing an opinion on the effectiveness of the Partnership’s internal control. Accordingly, no such opinion is expressed.</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96" w:right="339" w:bottom="1440" w:gutter="0" w:footer="0" w:header="0"/>
        </w:sectPr>
      </w:pPr>
    </w:p>
    <w:bookmarkStart w:id="105" w:name="page106"/>
    <w:bookmarkEnd w:id="105"/>
    <w:p>
      <w:pPr>
        <w:ind w:left="660" w:right="720" w:hanging="328"/>
        <w:spacing w:after="0" w:line="254" w:lineRule="auto"/>
        <w:tabs>
          <w:tab w:leader="none" w:pos="64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 the appropriateness of accounting policies used and the reasonableness of significant accounting estimates made by management, as well as evaluate the overall presentation of the financial statements.</w:t>
      </w:r>
    </w:p>
    <w:p>
      <w:pPr>
        <w:spacing w:after="0" w:line="1" w:lineRule="exact"/>
        <w:rPr>
          <w:rFonts w:ascii="Times New Roman" w:cs="Times New Roman" w:eastAsia="Times New Roman" w:hAnsi="Times New Roman"/>
          <w:sz w:val="20"/>
          <w:szCs w:val="20"/>
          <w:color w:val="auto"/>
        </w:rPr>
      </w:pPr>
    </w:p>
    <w:p>
      <w:pPr>
        <w:ind w:left="660" w:right="100" w:hanging="328"/>
        <w:spacing w:after="0" w:line="267" w:lineRule="auto"/>
        <w:tabs>
          <w:tab w:leader="none" w:pos="64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Conclude whether, in our judgment, there are conditions or events, considered in the aggregate, that raise substantial doubt about the Partnership’s ability to continue as a going concern for a reasonable period of time.</w:t>
      </w:r>
    </w:p>
    <w:p>
      <w:pPr>
        <w:spacing w:after="0" w:line="94"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21, 2023</w:t>
      </w: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56"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0"/>
        </w:trPr>
        <w:tc>
          <w:tcPr>
            <w:tcW w:w="7980" w:type="dxa"/>
            <w:vAlign w:val="bottom"/>
          </w:tcPr>
          <w:p>
            <w:pPr>
              <w:jc w:val="center"/>
              <w:ind w:left="2950"/>
              <w:spacing w:after="0"/>
              <w:rPr>
                <w:sz w:val="20"/>
                <w:szCs w:val="20"/>
                <w:color w:val="auto"/>
              </w:rPr>
            </w:pPr>
            <w:r>
              <w:rPr>
                <w:rFonts w:ascii="Arial" w:cs="Arial" w:eastAsia="Arial" w:hAnsi="Arial"/>
                <w:sz w:val="18"/>
                <w:szCs w:val="18"/>
                <w:b w:val="1"/>
                <w:bCs w:val="1"/>
                <w:color w:val="auto"/>
                <w:w w:val="98"/>
              </w:rPr>
              <w:t>MEDICI VENTURES, L.P.</w:t>
            </w:r>
          </w:p>
        </w:tc>
        <w:tc>
          <w:tcPr>
            <w:tcW w:w="1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jc w:val="center"/>
              <w:ind w:left="2930"/>
              <w:spacing w:after="0"/>
              <w:rPr>
                <w:sz w:val="20"/>
                <w:szCs w:val="20"/>
                <w:color w:val="auto"/>
              </w:rPr>
            </w:pPr>
            <w:r>
              <w:rPr>
                <w:rFonts w:ascii="Arial" w:cs="Arial" w:eastAsia="Arial" w:hAnsi="Arial"/>
                <w:sz w:val="18"/>
                <w:szCs w:val="18"/>
                <w:color w:val="auto"/>
                <w:w w:val="99"/>
              </w:rPr>
              <w:t>(A Delaware Limited Partnership)</w:t>
            </w:r>
          </w:p>
        </w:tc>
        <w:tc>
          <w:tcPr>
            <w:tcW w:w="1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jc w:val="center"/>
              <w:ind w:left="2930"/>
              <w:spacing w:after="0"/>
              <w:rPr>
                <w:sz w:val="20"/>
                <w:szCs w:val="20"/>
                <w:color w:val="auto"/>
              </w:rPr>
            </w:pPr>
            <w:r>
              <w:rPr>
                <w:rFonts w:ascii="Arial" w:cs="Arial" w:eastAsia="Arial" w:hAnsi="Arial"/>
                <w:sz w:val="18"/>
                <w:szCs w:val="18"/>
                <w:color w:val="auto"/>
              </w:rPr>
              <w:t>Statement of Assets and Liabilities</w:t>
            </w:r>
          </w:p>
        </w:tc>
        <w:tc>
          <w:tcPr>
            <w:tcW w:w="1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jc w:val="center"/>
              <w:ind w:left="2930"/>
              <w:spacing w:after="0"/>
              <w:rPr>
                <w:sz w:val="20"/>
                <w:szCs w:val="20"/>
                <w:color w:val="auto"/>
              </w:rPr>
            </w:pPr>
            <w:r>
              <w:rPr>
                <w:rFonts w:ascii="Arial" w:cs="Arial" w:eastAsia="Arial" w:hAnsi="Arial"/>
                <w:sz w:val="18"/>
                <w:szCs w:val="18"/>
                <w:color w:val="auto"/>
              </w:rPr>
              <w:t>September 30, 2023</w:t>
            </w:r>
          </w:p>
        </w:tc>
        <w:tc>
          <w:tcPr>
            <w:tcW w:w="1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Investments, at fair value (Note 3, cost of $211,156,482)</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109,976,427</w:t>
            </w:r>
          </w:p>
        </w:tc>
        <w:tc>
          <w:tcPr>
            <w:tcW w:w="0" w:type="dxa"/>
            <w:vAlign w:val="bottom"/>
          </w:tcPr>
          <w:p>
            <w:pPr>
              <w:spacing w:after="0"/>
              <w:rPr>
                <w:sz w:val="1"/>
                <w:szCs w:val="1"/>
                <w:color w:val="auto"/>
              </w:rPr>
            </w:pPr>
          </w:p>
        </w:tc>
      </w:tr>
      <w:tr>
        <w:trPr>
          <w:trHeight w:val="229"/>
        </w:trPr>
        <w:tc>
          <w:tcPr>
            <w:tcW w:w="7980" w:type="dxa"/>
            <w:vAlign w:val="bottom"/>
          </w:tcPr>
          <w:p>
            <w:pPr>
              <w:spacing w:after="0"/>
              <w:rPr>
                <w:sz w:val="20"/>
                <w:szCs w:val="20"/>
                <w:color w:val="auto"/>
              </w:rPr>
            </w:pPr>
            <w:r>
              <w:rPr>
                <w:rFonts w:ascii="Arial" w:cs="Arial" w:eastAsia="Arial" w:hAnsi="Arial"/>
                <w:sz w:val="18"/>
                <w:szCs w:val="18"/>
                <w:color w:val="auto"/>
              </w:rPr>
              <w:t>Cash</w:t>
            </w:r>
          </w:p>
        </w:tc>
        <w:tc>
          <w:tcPr>
            <w:tcW w:w="1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12,882,910</w:t>
            </w:r>
          </w:p>
        </w:tc>
        <w:tc>
          <w:tcPr>
            <w:tcW w:w="0" w:type="dxa"/>
            <w:vAlign w:val="bottom"/>
          </w:tcPr>
          <w:p>
            <w:pPr>
              <w:spacing w:after="0"/>
              <w:rPr>
                <w:sz w:val="1"/>
                <w:szCs w:val="1"/>
                <w:color w:val="auto"/>
              </w:rPr>
            </w:pPr>
          </w:p>
        </w:tc>
      </w:tr>
      <w:tr>
        <w:trPr>
          <w:trHeight w:val="235"/>
        </w:trPr>
        <w:tc>
          <w:tcPr>
            <w:tcW w:w="7980" w:type="dxa"/>
            <w:vAlign w:val="bottom"/>
          </w:tcPr>
          <w:p>
            <w:pPr>
              <w:spacing w:after="0"/>
              <w:rPr>
                <w:sz w:val="20"/>
                <w:szCs w:val="20"/>
                <w:color w:val="auto"/>
              </w:rPr>
            </w:pPr>
            <w:r>
              <w:rPr>
                <w:rFonts w:ascii="Arial" w:cs="Arial" w:eastAsia="Arial" w:hAnsi="Arial"/>
                <w:sz w:val="18"/>
                <w:szCs w:val="18"/>
                <w:color w:val="auto"/>
              </w:rPr>
              <w:t>Prepaid management fees</w:t>
            </w:r>
          </w:p>
        </w:tc>
        <w:tc>
          <w:tcPr>
            <w:tcW w:w="1280" w:type="dxa"/>
            <w:vAlign w:val="bottom"/>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1,458,333</w:t>
            </w:r>
          </w:p>
        </w:tc>
        <w:tc>
          <w:tcPr>
            <w:tcW w:w="0" w:type="dxa"/>
            <w:vAlign w:val="bottom"/>
          </w:tcPr>
          <w:p>
            <w:pPr>
              <w:spacing w:after="0"/>
              <w:rPr>
                <w:sz w:val="1"/>
                <w:szCs w:val="1"/>
                <w:color w:val="auto"/>
              </w:rPr>
            </w:pPr>
          </w:p>
        </w:tc>
      </w:tr>
      <w:tr>
        <w:trPr>
          <w:trHeight w:val="223"/>
        </w:trPr>
        <w:tc>
          <w:tcPr>
            <w:tcW w:w="7980" w:type="dxa"/>
            <w:vAlign w:val="bottom"/>
          </w:tcPr>
          <w:p>
            <w:pPr>
              <w:ind w:left="1080"/>
              <w:spacing w:after="0"/>
              <w:rPr>
                <w:sz w:val="20"/>
                <w:szCs w:val="20"/>
                <w:color w:val="auto"/>
              </w:rPr>
            </w:pPr>
            <w:r>
              <w:rPr>
                <w:rFonts w:ascii="Arial" w:cs="Arial" w:eastAsia="Arial" w:hAnsi="Arial"/>
                <w:sz w:val="18"/>
                <w:szCs w:val="18"/>
                <w:b w:val="1"/>
                <w:bCs w:val="1"/>
                <w:color w:val="auto"/>
              </w:rPr>
              <w:t>Total assets</w:t>
            </w:r>
          </w:p>
        </w:tc>
        <w:tc>
          <w:tcPr>
            <w:tcW w:w="12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124,317,670</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2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798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980" w:type="dxa"/>
            <w:vAlign w:val="bottom"/>
          </w:tcPr>
          <w:p>
            <w:pPr>
              <w:spacing w:after="0"/>
              <w:rPr>
                <w:sz w:val="20"/>
                <w:szCs w:val="20"/>
                <w:color w:val="auto"/>
              </w:rPr>
            </w:pPr>
            <w:r>
              <w:rPr>
                <w:rFonts w:ascii="Arial" w:cs="Arial" w:eastAsia="Arial" w:hAnsi="Arial"/>
                <w:sz w:val="18"/>
                <w:szCs w:val="18"/>
                <w:color w:val="auto"/>
              </w:rPr>
              <w:t>Related party payable (Note 9)</w:t>
            </w:r>
          </w:p>
        </w:tc>
        <w:tc>
          <w:tcPr>
            <w:tcW w:w="1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182,346</w:t>
            </w:r>
          </w:p>
        </w:tc>
        <w:tc>
          <w:tcPr>
            <w:tcW w:w="0" w:type="dxa"/>
            <w:vAlign w:val="bottom"/>
          </w:tcPr>
          <w:p>
            <w:pPr>
              <w:spacing w:after="0"/>
              <w:rPr>
                <w:sz w:val="1"/>
                <w:szCs w:val="1"/>
                <w:color w:val="auto"/>
              </w:rPr>
            </w:pPr>
          </w:p>
        </w:tc>
      </w:tr>
      <w:tr>
        <w:trPr>
          <w:trHeight w:val="235"/>
        </w:trPr>
        <w:tc>
          <w:tcPr>
            <w:tcW w:w="7980" w:type="dxa"/>
            <w:vAlign w:val="bottom"/>
          </w:tcPr>
          <w:p>
            <w:pPr>
              <w:spacing w:after="0"/>
              <w:rPr>
                <w:sz w:val="20"/>
                <w:szCs w:val="20"/>
                <w:color w:val="auto"/>
              </w:rPr>
            </w:pPr>
            <w:r>
              <w:rPr>
                <w:rFonts w:ascii="Arial" w:cs="Arial" w:eastAsia="Arial" w:hAnsi="Arial"/>
                <w:sz w:val="18"/>
                <w:szCs w:val="18"/>
                <w:color w:val="auto"/>
              </w:rPr>
              <w:t>Performance fee liability (Note 8)</w:t>
            </w:r>
          </w:p>
        </w:tc>
        <w:tc>
          <w:tcPr>
            <w:tcW w:w="1280" w:type="dxa"/>
            <w:vAlign w:val="bottom"/>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5,290,734</w:t>
            </w:r>
          </w:p>
        </w:tc>
        <w:tc>
          <w:tcPr>
            <w:tcW w:w="0" w:type="dxa"/>
            <w:vAlign w:val="bottom"/>
          </w:tcPr>
          <w:p>
            <w:pPr>
              <w:spacing w:after="0"/>
              <w:rPr>
                <w:sz w:val="1"/>
                <w:szCs w:val="1"/>
                <w:color w:val="auto"/>
              </w:rPr>
            </w:pPr>
          </w:p>
        </w:tc>
      </w:tr>
      <w:tr>
        <w:trPr>
          <w:trHeight w:val="223"/>
        </w:trPr>
        <w:tc>
          <w:tcPr>
            <w:tcW w:w="7980" w:type="dxa"/>
            <w:vAlign w:val="bottom"/>
          </w:tcPr>
          <w:p>
            <w:pPr>
              <w:ind w:left="1080"/>
              <w:spacing w:after="0"/>
              <w:rPr>
                <w:sz w:val="20"/>
                <w:szCs w:val="20"/>
                <w:color w:val="auto"/>
              </w:rPr>
            </w:pPr>
            <w:r>
              <w:rPr>
                <w:rFonts w:ascii="Arial" w:cs="Arial" w:eastAsia="Arial" w:hAnsi="Arial"/>
                <w:sz w:val="18"/>
                <w:szCs w:val="18"/>
                <w:b w:val="1"/>
                <w:bCs w:val="1"/>
                <w:color w:val="auto"/>
              </w:rPr>
              <w:t>Total liabilities</w:t>
            </w:r>
          </w:p>
        </w:tc>
        <w:tc>
          <w:tcPr>
            <w:tcW w:w="12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5,473,080</w:t>
            </w:r>
          </w:p>
        </w:tc>
        <w:tc>
          <w:tcPr>
            <w:tcW w:w="0" w:type="dxa"/>
            <w:vAlign w:val="bottom"/>
          </w:tcPr>
          <w:p>
            <w:pPr>
              <w:spacing w:after="0"/>
              <w:rPr>
                <w:sz w:val="1"/>
                <w:szCs w:val="1"/>
                <w:color w:val="auto"/>
              </w:rPr>
            </w:pPr>
          </w:p>
        </w:tc>
      </w:tr>
      <w:tr>
        <w:trPr>
          <w:trHeight w:val="218"/>
        </w:trPr>
        <w:tc>
          <w:tcPr>
            <w:tcW w:w="7980" w:type="dxa"/>
            <w:vAlign w:val="bottom"/>
          </w:tcPr>
          <w:p>
            <w:pPr>
              <w:spacing w:after="0"/>
              <w:rPr>
                <w:sz w:val="20"/>
                <w:szCs w:val="20"/>
                <w:color w:val="auto"/>
              </w:rPr>
            </w:pPr>
            <w:r>
              <w:rPr>
                <w:rFonts w:ascii="Arial" w:cs="Arial" w:eastAsia="Arial" w:hAnsi="Arial"/>
                <w:sz w:val="18"/>
                <w:szCs w:val="18"/>
                <w:color w:val="auto"/>
              </w:rPr>
              <w:t>Partners’ capital - general partner</w:t>
            </w:r>
          </w:p>
        </w:tc>
        <w:tc>
          <w:tcPr>
            <w:tcW w:w="12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4,017,949</w:t>
            </w:r>
          </w:p>
        </w:tc>
        <w:tc>
          <w:tcPr>
            <w:tcW w:w="0" w:type="dxa"/>
            <w:vAlign w:val="bottom"/>
          </w:tcPr>
          <w:p>
            <w:pPr>
              <w:spacing w:after="0"/>
              <w:rPr>
                <w:sz w:val="1"/>
                <w:szCs w:val="1"/>
                <w:color w:val="auto"/>
              </w:rPr>
            </w:pPr>
          </w:p>
        </w:tc>
      </w:tr>
      <w:tr>
        <w:trPr>
          <w:trHeight w:val="235"/>
        </w:trPr>
        <w:tc>
          <w:tcPr>
            <w:tcW w:w="7980" w:type="dxa"/>
            <w:vAlign w:val="bottom"/>
          </w:tcPr>
          <w:p>
            <w:pPr>
              <w:spacing w:after="0"/>
              <w:rPr>
                <w:sz w:val="20"/>
                <w:szCs w:val="20"/>
                <w:color w:val="auto"/>
              </w:rPr>
            </w:pPr>
            <w:r>
              <w:rPr>
                <w:rFonts w:ascii="Arial" w:cs="Arial" w:eastAsia="Arial" w:hAnsi="Arial"/>
                <w:sz w:val="18"/>
                <w:szCs w:val="18"/>
                <w:color w:val="auto"/>
              </w:rPr>
              <w:t>Partners’ capital - limited partner</w:t>
            </w:r>
          </w:p>
        </w:tc>
        <w:tc>
          <w:tcPr>
            <w:tcW w:w="1280" w:type="dxa"/>
            <w:vAlign w:val="bottom"/>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114,826,641</w:t>
            </w:r>
          </w:p>
        </w:tc>
        <w:tc>
          <w:tcPr>
            <w:tcW w:w="0" w:type="dxa"/>
            <w:vAlign w:val="bottom"/>
          </w:tcPr>
          <w:p>
            <w:pPr>
              <w:spacing w:after="0"/>
              <w:rPr>
                <w:sz w:val="1"/>
                <w:szCs w:val="1"/>
                <w:color w:val="auto"/>
              </w:rPr>
            </w:pPr>
          </w:p>
        </w:tc>
      </w:tr>
      <w:tr>
        <w:trPr>
          <w:trHeight w:val="223"/>
        </w:trPr>
        <w:tc>
          <w:tcPr>
            <w:tcW w:w="7980" w:type="dxa"/>
            <w:vAlign w:val="bottom"/>
          </w:tcPr>
          <w:p>
            <w:pPr>
              <w:ind w:left="1080"/>
              <w:spacing w:after="0"/>
              <w:rPr>
                <w:sz w:val="20"/>
                <w:szCs w:val="20"/>
                <w:color w:val="auto"/>
              </w:rPr>
            </w:pPr>
            <w:r>
              <w:rPr>
                <w:rFonts w:ascii="Arial" w:cs="Arial" w:eastAsia="Arial" w:hAnsi="Arial"/>
                <w:sz w:val="18"/>
                <w:szCs w:val="18"/>
                <w:b w:val="1"/>
                <w:bCs w:val="1"/>
                <w:color w:val="auto"/>
              </w:rPr>
              <w:t>Total partners’ capital</w:t>
            </w:r>
          </w:p>
        </w:tc>
        <w:tc>
          <w:tcPr>
            <w:tcW w:w="12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118,844,590</w:t>
            </w:r>
          </w:p>
        </w:tc>
        <w:tc>
          <w:tcPr>
            <w:tcW w:w="0" w:type="dxa"/>
            <w:vAlign w:val="bottom"/>
          </w:tcPr>
          <w:p>
            <w:pPr>
              <w:spacing w:after="0"/>
              <w:rPr>
                <w:sz w:val="1"/>
                <w:szCs w:val="1"/>
                <w:color w:val="auto"/>
              </w:rPr>
            </w:pPr>
          </w:p>
        </w:tc>
      </w:tr>
      <w:tr>
        <w:trPr>
          <w:trHeight w:val="223"/>
        </w:trPr>
        <w:tc>
          <w:tcPr>
            <w:tcW w:w="7980" w:type="dxa"/>
            <w:vAlign w:val="bottom"/>
          </w:tcPr>
          <w:p>
            <w:pPr>
              <w:ind w:left="1080"/>
              <w:spacing w:after="0"/>
              <w:rPr>
                <w:sz w:val="20"/>
                <w:szCs w:val="20"/>
                <w:color w:val="auto"/>
              </w:rPr>
            </w:pPr>
            <w:r>
              <w:rPr>
                <w:rFonts w:ascii="Arial" w:cs="Arial" w:eastAsia="Arial" w:hAnsi="Arial"/>
                <w:sz w:val="18"/>
                <w:szCs w:val="18"/>
                <w:b w:val="1"/>
                <w:bCs w:val="1"/>
                <w:color w:val="auto"/>
              </w:rPr>
              <w:t>Total liabilities and partners’ capital</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124,317,670</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ectPr>
          <w:pgSz w:w="11900" w:h="16838" w:orient="portrait"/>
          <w:cols w:equalWidth="0" w:num="1">
            <w:col w:w="11020"/>
          </w:cols>
          <w:pgMar w:left="440" w:top="1201" w:right="439" w:bottom="1440" w:gutter="0" w:footer="0" w:header="0"/>
        </w:sectPr>
      </w:pPr>
    </w:p>
    <w:bookmarkStart w:id="107" w:name="page108"/>
    <w:bookmarkEnd w:id="107"/>
    <w:p>
      <w:pPr>
        <w:jc w:val="center"/>
        <w:ind w:right="20"/>
        <w:spacing w:after="0"/>
        <w:rPr>
          <w:sz w:val="20"/>
          <w:szCs w:val="20"/>
          <w:color w:val="auto"/>
        </w:rPr>
      </w:pPr>
      <w:r>
        <w:rPr>
          <w:rFonts w:ascii="Arial" w:cs="Arial" w:eastAsia="Arial" w:hAnsi="Arial"/>
          <w:sz w:val="13"/>
          <w:szCs w:val="13"/>
          <w:b w:val="1"/>
          <w:bCs w:val="1"/>
          <w:color w:val="auto"/>
        </w:rPr>
        <w:t>MEDICI VENTURES, L.P.</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 Delaware Limited Partnership)</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Schedule of Investments</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September 30, 2023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6"/>
              </w:rPr>
              <w:t>Percentage</w:t>
            </w:r>
          </w:p>
        </w:tc>
      </w:tr>
      <w:tr>
        <w:trPr>
          <w:trHeight w:val="243"/>
        </w:trPr>
        <w:tc>
          <w:tcPr>
            <w:tcW w:w="4580" w:type="dxa"/>
            <w:vAlign w:val="bottom"/>
          </w:tcPr>
          <w:p>
            <w:pPr>
              <w:spacing w:after="0"/>
              <w:rPr>
                <w:sz w:val="21"/>
                <w:szCs w:val="21"/>
                <w:color w:val="auto"/>
              </w:rPr>
            </w:pPr>
          </w:p>
        </w:tc>
        <w:tc>
          <w:tcPr>
            <w:tcW w:w="1400" w:type="dxa"/>
            <w:vAlign w:val="bottom"/>
          </w:tcPr>
          <w:p>
            <w:pPr>
              <w:jc w:val="right"/>
              <w:ind w:right="317"/>
              <w:spacing w:after="0"/>
              <w:rPr>
                <w:sz w:val="20"/>
                <w:szCs w:val="20"/>
                <w:color w:val="auto"/>
              </w:rPr>
            </w:pPr>
            <w:r>
              <w:rPr>
                <w:rFonts w:ascii="Arial" w:cs="Arial" w:eastAsia="Arial" w:hAnsi="Arial"/>
                <w:sz w:val="13"/>
                <w:szCs w:val="13"/>
                <w:b w:val="1"/>
                <w:bCs w:val="1"/>
                <w:color w:val="auto"/>
              </w:rPr>
              <w:t>Number of</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7"/>
              </w:rPr>
              <w:t>of partners’</w:t>
            </w:r>
          </w:p>
        </w:tc>
      </w:tr>
      <w:tr>
        <w:trPr>
          <w:trHeight w:val="264"/>
        </w:trPr>
        <w:tc>
          <w:tcPr>
            <w:tcW w:w="4580" w:type="dxa"/>
            <w:vAlign w:val="bottom"/>
          </w:tcPr>
          <w:p>
            <w:pPr>
              <w:spacing w:after="0"/>
              <w:rPr>
                <w:sz w:val="23"/>
                <w:szCs w:val="23"/>
                <w:color w:val="auto"/>
              </w:rPr>
            </w:pPr>
          </w:p>
        </w:tc>
        <w:tc>
          <w:tcPr>
            <w:tcW w:w="1400" w:type="dxa"/>
            <w:vAlign w:val="bottom"/>
          </w:tcPr>
          <w:p>
            <w:pPr>
              <w:jc w:val="right"/>
              <w:ind w:right="277"/>
              <w:spacing w:after="0"/>
              <w:rPr>
                <w:sz w:val="20"/>
                <w:szCs w:val="20"/>
                <w:color w:val="auto"/>
              </w:rPr>
            </w:pPr>
            <w:r>
              <w:rPr>
                <w:rFonts w:ascii="Arial" w:cs="Arial" w:eastAsia="Arial" w:hAnsi="Arial"/>
                <w:sz w:val="13"/>
                <w:szCs w:val="13"/>
                <w:b w:val="1"/>
                <w:bCs w:val="1"/>
                <w:color w:val="auto"/>
              </w:rPr>
              <w:t>shares/units</w:t>
            </w:r>
          </w:p>
        </w:tc>
        <w:tc>
          <w:tcPr>
            <w:tcW w:w="200" w:type="dxa"/>
            <w:vAlign w:val="bottom"/>
          </w:tcPr>
          <w:p>
            <w:pPr>
              <w:spacing w:after="0"/>
              <w:rPr>
                <w:sz w:val="23"/>
                <w:szCs w:val="23"/>
                <w:color w:val="auto"/>
              </w:rPr>
            </w:pPr>
          </w:p>
        </w:tc>
        <w:tc>
          <w:tcPr>
            <w:tcW w:w="1400" w:type="dxa"/>
            <w:vAlign w:val="bottom"/>
          </w:tcPr>
          <w:p>
            <w:pPr>
              <w:jc w:val="right"/>
              <w:ind w:right="517"/>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23"/>
                <w:szCs w:val="23"/>
                <w:color w:val="auto"/>
              </w:rPr>
            </w:pPr>
          </w:p>
        </w:tc>
        <w:tc>
          <w:tcPr>
            <w:tcW w:w="1580" w:type="dxa"/>
            <w:vAlign w:val="bottom"/>
            <w:gridSpan w:val="2"/>
          </w:tcPr>
          <w:p>
            <w:pPr>
              <w:ind w:left="3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6"/>
                <w:szCs w:val="16"/>
                <w:b w:val="1"/>
                <w:bCs w:val="1"/>
                <w:color w:val="auto"/>
                <w:vertAlign w:val="superscript"/>
              </w:rPr>
              <w:t>(1)</w:t>
            </w: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7"/>
              </w:rPr>
              <w:t>capital</w:t>
            </w:r>
          </w:p>
        </w:tc>
      </w:tr>
      <w:tr>
        <w:trPr>
          <w:trHeight w:val="151"/>
        </w:trPr>
        <w:tc>
          <w:tcPr>
            <w:tcW w:w="4580" w:type="dxa"/>
            <w:vAlign w:val="bottom"/>
          </w:tcPr>
          <w:p>
            <w:pPr>
              <w:spacing w:after="0"/>
              <w:rPr>
                <w:sz w:val="20"/>
                <w:szCs w:val="20"/>
                <w:color w:val="auto"/>
              </w:rPr>
            </w:pPr>
            <w:r>
              <w:rPr>
                <w:rFonts w:ascii="Arial" w:cs="Arial" w:eastAsia="Arial" w:hAnsi="Arial"/>
                <w:sz w:val="13"/>
                <w:szCs w:val="13"/>
                <w:b w:val="1"/>
                <w:bCs w:val="1"/>
                <w:color w:val="auto"/>
              </w:rPr>
              <w:t>Portfolio investments, at fair value:</w:t>
            </w:r>
          </w:p>
        </w:tc>
        <w:tc>
          <w:tcPr>
            <w:tcW w:w="14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r>
      <w:tr>
        <w:trPr>
          <w:trHeight w:val="172"/>
        </w:trPr>
        <w:tc>
          <w:tcPr>
            <w:tcW w:w="4580" w:type="dxa"/>
            <w:vAlign w:val="bottom"/>
          </w:tcPr>
          <w:p>
            <w:pPr>
              <w:spacing w:after="0"/>
              <w:rPr>
                <w:sz w:val="20"/>
                <w:szCs w:val="20"/>
                <w:color w:val="auto"/>
              </w:rPr>
            </w:pPr>
            <w:r>
              <w:rPr>
                <w:rFonts w:ascii="Arial" w:cs="Arial" w:eastAsia="Arial" w:hAnsi="Arial"/>
                <w:sz w:val="13"/>
                <w:szCs w:val="13"/>
                <w:b w:val="1"/>
                <w:bCs w:val="1"/>
                <w:color w:val="auto"/>
              </w:rPr>
              <w:t>Private operating companies</w:t>
            </w: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5"/>
        </w:trPr>
        <w:tc>
          <w:tcPr>
            <w:tcW w:w="4580" w:type="dxa"/>
            <w:vAlign w:val="bottom"/>
          </w:tcPr>
          <w:p>
            <w:pPr>
              <w:ind w:left="180"/>
              <w:spacing w:after="0"/>
              <w:rPr>
                <w:sz w:val="20"/>
                <w:szCs w:val="20"/>
                <w:color w:val="auto"/>
              </w:rPr>
            </w:pPr>
            <w:r>
              <w:rPr>
                <w:rFonts w:ascii="Arial" w:cs="Arial" w:eastAsia="Arial" w:hAnsi="Arial"/>
                <w:sz w:val="13"/>
                <w:szCs w:val="13"/>
                <w:b w:val="1"/>
                <w:bCs w:val="1"/>
                <w:color w:val="auto"/>
              </w:rPr>
              <w:t>Blockchain and financial technology services:</w:t>
            </w: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4580" w:type="dxa"/>
            <w:vAlign w:val="bottom"/>
          </w:tcPr>
          <w:p>
            <w:pPr>
              <w:ind w:left="340"/>
              <w:spacing w:after="0"/>
              <w:rPr>
                <w:sz w:val="20"/>
                <w:szCs w:val="20"/>
                <w:color w:val="auto"/>
              </w:rPr>
            </w:pPr>
            <w:r>
              <w:rPr>
                <w:rFonts w:ascii="Arial" w:cs="Arial" w:eastAsia="Arial" w:hAnsi="Arial"/>
                <w:sz w:val="13"/>
                <w:szCs w:val="13"/>
                <w:b w:val="1"/>
                <w:bCs w:val="1"/>
                <w:color w:val="auto"/>
              </w:rPr>
              <w:t>United States</w:t>
            </w: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0"/>
        </w:trPr>
        <w:tc>
          <w:tcPr>
            <w:tcW w:w="4580" w:type="dxa"/>
            <w:vAlign w:val="bottom"/>
          </w:tcPr>
          <w:p>
            <w:pPr>
              <w:ind w:left="340"/>
              <w:spacing w:after="0"/>
              <w:rPr>
                <w:sz w:val="20"/>
                <w:szCs w:val="20"/>
                <w:color w:val="auto"/>
              </w:rPr>
            </w:pPr>
            <w:r>
              <w:rPr>
                <w:rFonts w:ascii="Arial" w:cs="Arial" w:eastAsia="Arial" w:hAnsi="Arial"/>
                <w:sz w:val="13"/>
                <w:szCs w:val="13"/>
                <w:color w:val="auto"/>
              </w:rPr>
              <w:t>tZERO Group, Inc.</w:t>
            </w: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5"/>
        </w:trPr>
        <w:tc>
          <w:tcPr>
            <w:tcW w:w="4580" w:type="dxa"/>
            <w:vAlign w:val="bottom"/>
          </w:tcPr>
          <w:p>
            <w:pPr>
              <w:ind w:left="540"/>
              <w:spacing w:after="0"/>
              <w:rPr>
                <w:sz w:val="20"/>
                <w:szCs w:val="20"/>
                <w:color w:val="auto"/>
              </w:rPr>
            </w:pPr>
            <w:r>
              <w:rPr>
                <w:rFonts w:ascii="Arial" w:cs="Arial" w:eastAsia="Arial" w:hAnsi="Arial"/>
                <w:sz w:val="13"/>
                <w:szCs w:val="13"/>
                <w:color w:val="auto"/>
              </w:rPr>
              <w:t>Common stock</w:t>
            </w: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112,095,577</w:t>
            </w: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101,405,000</w:t>
            </w: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27,985,400</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23.5 %</w:t>
            </w:r>
          </w:p>
        </w:tc>
      </w:tr>
      <w:tr>
        <w:trPr>
          <w:trHeight w:val="183"/>
        </w:trPr>
        <w:tc>
          <w:tcPr>
            <w:tcW w:w="4580" w:type="dxa"/>
            <w:vAlign w:val="bottom"/>
          </w:tcPr>
          <w:p>
            <w:pPr>
              <w:ind w:left="540"/>
              <w:spacing w:after="0"/>
              <w:rPr>
                <w:sz w:val="20"/>
                <w:szCs w:val="20"/>
                <w:color w:val="auto"/>
              </w:rPr>
            </w:pPr>
            <w:r>
              <w:rPr>
                <w:rFonts w:ascii="Arial" w:cs="Arial" w:eastAsia="Arial" w:hAnsi="Arial"/>
                <w:sz w:val="13"/>
                <w:szCs w:val="13"/>
                <w:color w:val="auto"/>
              </w:rPr>
              <w:t>Series B preferred stock</w:t>
            </w: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9,140,645</w:t>
            </w:r>
          </w:p>
        </w:tc>
        <w:tc>
          <w:tcPr>
            <w:tcW w:w="200" w:type="dxa"/>
            <w:vAlign w:val="bottom"/>
          </w:tcPr>
          <w:p>
            <w:pPr>
              <w:spacing w:after="0"/>
              <w:rPr>
                <w:sz w:val="15"/>
                <w:szCs w:val="15"/>
                <w:color w:val="auto"/>
              </w:rPr>
            </w:pPr>
          </w:p>
        </w:tc>
        <w:tc>
          <w:tcPr>
            <w:tcW w:w="14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5,025,069</w:t>
            </w:r>
          </w:p>
        </w:tc>
        <w:tc>
          <w:tcPr>
            <w:tcW w:w="200" w:type="dxa"/>
            <w:vAlign w:val="bottom"/>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2,939,563</w:t>
            </w:r>
          </w:p>
        </w:tc>
        <w:tc>
          <w:tcPr>
            <w:tcW w:w="200" w:type="dxa"/>
            <w:vAlign w:val="bottom"/>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2.5 %</w:t>
            </w:r>
          </w:p>
        </w:tc>
      </w:tr>
      <w:tr>
        <w:trPr>
          <w:trHeight w:val="169"/>
        </w:trPr>
        <w:tc>
          <w:tcPr>
            <w:tcW w:w="4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106,430,069</w:t>
            </w:r>
          </w:p>
        </w:tc>
        <w:tc>
          <w:tcPr>
            <w:tcW w:w="20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30,924,963</w:t>
            </w:r>
          </w:p>
        </w:tc>
        <w:tc>
          <w:tcPr>
            <w:tcW w:w="20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26.0 %</w:t>
            </w:r>
          </w:p>
        </w:tc>
      </w:tr>
      <w:tr>
        <w:trPr>
          <w:trHeight w:val="242"/>
        </w:trPr>
        <w:tc>
          <w:tcPr>
            <w:tcW w:w="4580" w:type="dxa"/>
            <w:vAlign w:val="bottom"/>
          </w:tcPr>
          <w:p>
            <w:pPr>
              <w:ind w:left="340"/>
              <w:spacing w:after="0"/>
              <w:rPr>
                <w:sz w:val="20"/>
                <w:szCs w:val="20"/>
                <w:color w:val="auto"/>
              </w:rPr>
            </w:pPr>
            <w:r>
              <w:rPr>
                <w:rFonts w:ascii="Arial" w:cs="Arial" w:eastAsia="Arial" w:hAnsi="Arial"/>
                <w:sz w:val="13"/>
                <w:szCs w:val="13"/>
                <w:color w:val="auto"/>
              </w:rPr>
              <w:t>Bitt, Inc.</w:t>
            </w: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176"/>
        </w:trPr>
        <w:tc>
          <w:tcPr>
            <w:tcW w:w="4580" w:type="dxa"/>
            <w:vAlign w:val="bottom"/>
          </w:tcPr>
          <w:p>
            <w:pPr>
              <w:ind w:left="540"/>
              <w:spacing w:after="0"/>
              <w:rPr>
                <w:sz w:val="20"/>
                <w:szCs w:val="20"/>
                <w:color w:val="auto"/>
              </w:rPr>
            </w:pPr>
            <w:r>
              <w:rPr>
                <w:rFonts w:ascii="Arial" w:cs="Arial" w:eastAsia="Arial" w:hAnsi="Arial"/>
                <w:sz w:val="13"/>
                <w:szCs w:val="13"/>
                <w:color w:val="auto"/>
              </w:rPr>
              <w:t>Series Seed preferred stock</w:t>
            </w: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22,652,459</w:t>
            </w:r>
          </w:p>
        </w:tc>
        <w:tc>
          <w:tcPr>
            <w:tcW w:w="200" w:type="dxa"/>
            <w:vAlign w:val="bottom"/>
          </w:tcPr>
          <w:p>
            <w:pPr>
              <w:spacing w:after="0"/>
              <w:rPr>
                <w:sz w:val="15"/>
                <w:szCs w:val="15"/>
                <w:color w:val="auto"/>
              </w:rPr>
            </w:pP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17,674,000</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16,157,380</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13.6 %</w:t>
            </w:r>
          </w:p>
        </w:tc>
      </w:tr>
      <w:tr>
        <w:trPr>
          <w:trHeight w:val="176"/>
        </w:trPr>
        <w:tc>
          <w:tcPr>
            <w:tcW w:w="4580" w:type="dxa"/>
            <w:vAlign w:val="bottom"/>
          </w:tcPr>
          <w:p>
            <w:pPr>
              <w:ind w:left="540"/>
              <w:spacing w:after="0"/>
              <w:rPr>
                <w:sz w:val="20"/>
                <w:szCs w:val="20"/>
                <w:color w:val="auto"/>
              </w:rPr>
            </w:pPr>
            <w:r>
              <w:rPr>
                <w:rFonts w:ascii="Arial" w:cs="Arial" w:eastAsia="Arial" w:hAnsi="Arial"/>
                <w:sz w:val="13"/>
                <w:szCs w:val="13"/>
                <w:color w:val="auto"/>
              </w:rPr>
              <w:t>Series Seed-2 preferred stock</w:t>
            </w: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797,399</w:t>
            </w:r>
          </w:p>
        </w:tc>
        <w:tc>
          <w:tcPr>
            <w:tcW w:w="200" w:type="dxa"/>
            <w:vAlign w:val="bottom"/>
          </w:tcPr>
          <w:p>
            <w:pPr>
              <w:spacing w:after="0"/>
              <w:rPr>
                <w:sz w:val="15"/>
                <w:szCs w:val="15"/>
                <w:color w:val="auto"/>
              </w:rPr>
            </w:pP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1,579,233</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568,763</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0.5 %</w:t>
            </w:r>
          </w:p>
        </w:tc>
      </w:tr>
      <w:tr>
        <w:trPr>
          <w:trHeight w:val="175"/>
        </w:trPr>
        <w:tc>
          <w:tcPr>
            <w:tcW w:w="4580" w:type="dxa"/>
            <w:vAlign w:val="bottom"/>
          </w:tcPr>
          <w:p>
            <w:pPr>
              <w:ind w:left="540"/>
              <w:spacing w:after="0"/>
              <w:rPr>
                <w:sz w:val="20"/>
                <w:szCs w:val="20"/>
                <w:color w:val="auto"/>
              </w:rPr>
            </w:pPr>
            <w:r>
              <w:rPr>
                <w:rFonts w:ascii="Arial" w:cs="Arial" w:eastAsia="Arial" w:hAnsi="Arial"/>
                <w:sz w:val="13"/>
                <w:szCs w:val="13"/>
                <w:color w:val="auto"/>
              </w:rPr>
              <w:t>Series Seed-3 preferred stock</w:t>
            </w: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1,285,619</w:t>
            </w:r>
          </w:p>
        </w:tc>
        <w:tc>
          <w:tcPr>
            <w:tcW w:w="200" w:type="dxa"/>
            <w:vAlign w:val="bottom"/>
          </w:tcPr>
          <w:p>
            <w:pPr>
              <w:spacing w:after="0"/>
              <w:rPr>
                <w:sz w:val="15"/>
                <w:szCs w:val="15"/>
                <w:color w:val="auto"/>
              </w:rPr>
            </w:pP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3,182,709</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916,997</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0.8 %</w:t>
            </w:r>
          </w:p>
        </w:tc>
      </w:tr>
      <w:tr>
        <w:trPr>
          <w:trHeight w:val="183"/>
        </w:trPr>
        <w:tc>
          <w:tcPr>
            <w:tcW w:w="4580" w:type="dxa"/>
            <w:vAlign w:val="bottom"/>
          </w:tcPr>
          <w:p>
            <w:pPr>
              <w:ind w:left="540"/>
              <w:spacing w:after="0"/>
              <w:rPr>
                <w:sz w:val="20"/>
                <w:szCs w:val="20"/>
                <w:color w:val="auto"/>
              </w:rPr>
            </w:pPr>
            <w:r>
              <w:rPr>
                <w:rFonts w:ascii="Arial" w:cs="Arial" w:eastAsia="Arial" w:hAnsi="Arial"/>
                <w:sz w:val="13"/>
                <w:szCs w:val="13"/>
                <w:color w:val="auto"/>
              </w:rPr>
              <w:t>Warrants</w:t>
            </w: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3,214,047</w:t>
            </w:r>
          </w:p>
        </w:tc>
        <w:tc>
          <w:tcPr>
            <w:tcW w:w="20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2,260,351</w:t>
            </w:r>
          </w:p>
        </w:tc>
        <w:tc>
          <w:tcPr>
            <w:tcW w:w="200" w:type="dxa"/>
            <w:vAlign w:val="bottom"/>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1.9 %</w:t>
            </w:r>
          </w:p>
        </w:tc>
      </w:tr>
      <w:tr>
        <w:trPr>
          <w:trHeight w:val="169"/>
        </w:trPr>
        <w:tc>
          <w:tcPr>
            <w:tcW w:w="4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22,435,942</w:t>
            </w:r>
          </w:p>
        </w:tc>
        <w:tc>
          <w:tcPr>
            <w:tcW w:w="20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19,903,491</w:t>
            </w:r>
          </w:p>
        </w:tc>
        <w:tc>
          <w:tcPr>
            <w:tcW w:w="20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16.8 %</w:t>
            </w:r>
          </w:p>
        </w:tc>
      </w:tr>
      <w:tr>
        <w:trPr>
          <w:trHeight w:val="256"/>
        </w:trPr>
        <w:tc>
          <w:tcPr>
            <w:tcW w:w="4580" w:type="dxa"/>
            <w:vAlign w:val="bottom"/>
          </w:tcPr>
          <w:p>
            <w:pPr>
              <w:ind w:left="340"/>
              <w:spacing w:after="0"/>
              <w:rPr>
                <w:sz w:val="20"/>
                <w:szCs w:val="20"/>
                <w:color w:val="auto"/>
              </w:rPr>
            </w:pPr>
            <w:r>
              <w:rPr>
                <w:rFonts w:ascii="Arial" w:cs="Arial" w:eastAsia="Arial" w:hAnsi="Arial"/>
                <w:sz w:val="13"/>
                <w:szCs w:val="13"/>
                <w:color w:val="auto"/>
              </w:rPr>
              <w:t>Medici Land Governance, Inc.</w:t>
            </w: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175"/>
        </w:trPr>
        <w:tc>
          <w:tcPr>
            <w:tcW w:w="4580" w:type="dxa"/>
            <w:vAlign w:val="bottom"/>
          </w:tcPr>
          <w:p>
            <w:pPr>
              <w:ind w:left="540"/>
              <w:spacing w:after="0"/>
              <w:rPr>
                <w:sz w:val="20"/>
                <w:szCs w:val="20"/>
                <w:color w:val="auto"/>
              </w:rPr>
            </w:pPr>
            <w:r>
              <w:rPr>
                <w:rFonts w:ascii="Arial" w:cs="Arial" w:eastAsia="Arial" w:hAnsi="Arial"/>
                <w:sz w:val="13"/>
                <w:szCs w:val="13"/>
                <w:color w:val="auto"/>
              </w:rPr>
              <w:t>Common stock</w:t>
            </w: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870,487</w:t>
            </w:r>
          </w:p>
        </w:tc>
        <w:tc>
          <w:tcPr>
            <w:tcW w:w="200" w:type="dxa"/>
            <w:vAlign w:val="bottom"/>
          </w:tcPr>
          <w:p>
            <w:pPr>
              <w:spacing w:after="0"/>
              <w:rPr>
                <w:sz w:val="15"/>
                <w:szCs w:val="15"/>
                <w:color w:val="auto"/>
              </w:rPr>
            </w:pP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14,044,000</w:t>
            </w:r>
          </w:p>
        </w:tc>
        <w:tc>
          <w:tcPr>
            <w:tcW w:w="200" w:type="dxa"/>
            <w:vAlign w:val="bottom"/>
          </w:tcPr>
          <w:p>
            <w:pPr>
              <w:spacing w:after="0"/>
              <w:rPr>
                <w:sz w:val="15"/>
                <w:szCs w:val="15"/>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0.0 %</w:t>
            </w:r>
          </w:p>
        </w:tc>
      </w:tr>
      <w:tr>
        <w:trPr>
          <w:trHeight w:val="284"/>
        </w:trPr>
        <w:tc>
          <w:tcPr>
            <w:tcW w:w="4580" w:type="dxa"/>
            <w:vAlign w:val="bottom"/>
          </w:tcPr>
          <w:p>
            <w:pPr>
              <w:ind w:left="340"/>
              <w:spacing w:after="0"/>
              <w:rPr>
                <w:sz w:val="20"/>
                <w:szCs w:val="20"/>
                <w:color w:val="auto"/>
              </w:rPr>
            </w:pPr>
            <w:r>
              <w:rPr>
                <w:rFonts w:ascii="Arial" w:cs="Arial" w:eastAsia="Arial" w:hAnsi="Arial"/>
                <w:sz w:val="13"/>
                <w:szCs w:val="13"/>
                <w:color w:val="auto"/>
              </w:rPr>
              <w:t>PeerNova, Inc.</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5"/>
        </w:trPr>
        <w:tc>
          <w:tcPr>
            <w:tcW w:w="4580" w:type="dxa"/>
            <w:vAlign w:val="bottom"/>
          </w:tcPr>
          <w:p>
            <w:pPr>
              <w:ind w:left="540"/>
              <w:spacing w:after="0"/>
              <w:rPr>
                <w:sz w:val="20"/>
                <w:szCs w:val="20"/>
                <w:color w:val="auto"/>
              </w:rPr>
            </w:pPr>
            <w:r>
              <w:rPr>
                <w:rFonts w:ascii="Arial" w:cs="Arial" w:eastAsia="Arial" w:hAnsi="Arial"/>
                <w:sz w:val="13"/>
                <w:szCs w:val="13"/>
                <w:color w:val="auto"/>
              </w:rPr>
              <w:t>Common stock and warrants</w:t>
            </w: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2,642,996</w:t>
            </w:r>
          </w:p>
        </w:tc>
        <w:tc>
          <w:tcPr>
            <w:tcW w:w="200" w:type="dxa"/>
            <w:vAlign w:val="bottom"/>
          </w:tcPr>
          <w:p>
            <w:pPr>
              <w:spacing w:after="0"/>
              <w:rPr>
                <w:sz w:val="15"/>
                <w:szCs w:val="15"/>
                <w:color w:val="auto"/>
              </w:rPr>
            </w:pP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5,758,751</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2,991,723</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2.5 %</w:t>
            </w:r>
          </w:p>
        </w:tc>
      </w:tr>
      <w:tr>
        <w:trPr>
          <w:trHeight w:val="176"/>
        </w:trPr>
        <w:tc>
          <w:tcPr>
            <w:tcW w:w="4580" w:type="dxa"/>
            <w:vAlign w:val="bottom"/>
          </w:tcPr>
          <w:p>
            <w:pPr>
              <w:ind w:left="540"/>
              <w:spacing w:after="0"/>
              <w:rPr>
                <w:sz w:val="20"/>
                <w:szCs w:val="20"/>
                <w:color w:val="auto"/>
              </w:rPr>
            </w:pPr>
            <w:r>
              <w:rPr>
                <w:rFonts w:ascii="Arial" w:cs="Arial" w:eastAsia="Arial" w:hAnsi="Arial"/>
                <w:sz w:val="13"/>
                <w:szCs w:val="13"/>
                <w:color w:val="auto"/>
              </w:rPr>
              <w:t>Series A preferred stock</w:t>
            </w: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1,405,043</w:t>
            </w:r>
          </w:p>
        </w:tc>
        <w:tc>
          <w:tcPr>
            <w:tcW w:w="200" w:type="dxa"/>
            <w:vAlign w:val="bottom"/>
          </w:tcPr>
          <w:p>
            <w:pPr>
              <w:spacing w:after="0"/>
              <w:rPr>
                <w:sz w:val="15"/>
                <w:szCs w:val="15"/>
                <w:color w:val="auto"/>
              </w:rPr>
            </w:pP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2,336,823</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2,184,965</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1.8 %</w:t>
            </w:r>
          </w:p>
        </w:tc>
      </w:tr>
      <w:tr>
        <w:trPr>
          <w:trHeight w:val="183"/>
        </w:trPr>
        <w:tc>
          <w:tcPr>
            <w:tcW w:w="4580" w:type="dxa"/>
            <w:vAlign w:val="bottom"/>
          </w:tcPr>
          <w:p>
            <w:pPr>
              <w:ind w:left="540"/>
              <w:spacing w:after="0"/>
              <w:rPr>
                <w:sz w:val="20"/>
                <w:szCs w:val="20"/>
                <w:color w:val="auto"/>
              </w:rPr>
            </w:pPr>
            <w:r>
              <w:rPr>
                <w:rFonts w:ascii="Arial" w:cs="Arial" w:eastAsia="Arial" w:hAnsi="Arial"/>
                <w:sz w:val="13"/>
                <w:szCs w:val="13"/>
                <w:color w:val="auto"/>
              </w:rPr>
              <w:t>Series B preferred stock</w:t>
            </w: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596,397</w:t>
            </w:r>
          </w:p>
        </w:tc>
        <w:tc>
          <w:tcPr>
            <w:tcW w:w="200" w:type="dxa"/>
            <w:vAlign w:val="bottom"/>
          </w:tcPr>
          <w:p>
            <w:pPr>
              <w:spacing w:after="0"/>
              <w:rPr>
                <w:sz w:val="15"/>
                <w:szCs w:val="15"/>
                <w:color w:val="auto"/>
              </w:rPr>
            </w:pPr>
          </w:p>
        </w:tc>
        <w:tc>
          <w:tcPr>
            <w:tcW w:w="14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1,499,997</w:t>
            </w:r>
          </w:p>
        </w:tc>
        <w:tc>
          <w:tcPr>
            <w:tcW w:w="200" w:type="dxa"/>
            <w:vAlign w:val="bottom"/>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1,177,202</w:t>
            </w:r>
          </w:p>
        </w:tc>
        <w:tc>
          <w:tcPr>
            <w:tcW w:w="200" w:type="dxa"/>
            <w:vAlign w:val="bottom"/>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1.0 %</w:t>
            </w:r>
          </w:p>
        </w:tc>
      </w:tr>
      <w:tr>
        <w:trPr>
          <w:trHeight w:val="169"/>
        </w:trPr>
        <w:tc>
          <w:tcPr>
            <w:tcW w:w="4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9,595,571</w:t>
            </w:r>
          </w:p>
        </w:tc>
        <w:tc>
          <w:tcPr>
            <w:tcW w:w="20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6,353,890</w:t>
            </w:r>
          </w:p>
        </w:tc>
        <w:tc>
          <w:tcPr>
            <w:tcW w:w="20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5.3 %</w:t>
            </w:r>
          </w:p>
        </w:tc>
      </w:tr>
      <w:tr>
        <w:trPr>
          <w:trHeight w:val="256"/>
        </w:trPr>
        <w:tc>
          <w:tcPr>
            <w:tcW w:w="4580" w:type="dxa"/>
            <w:vAlign w:val="bottom"/>
          </w:tcPr>
          <w:p>
            <w:pPr>
              <w:ind w:left="340"/>
              <w:spacing w:after="0"/>
              <w:rPr>
                <w:sz w:val="20"/>
                <w:szCs w:val="20"/>
                <w:color w:val="auto"/>
              </w:rPr>
            </w:pPr>
            <w:r>
              <w:rPr>
                <w:rFonts w:ascii="Arial" w:cs="Arial" w:eastAsia="Arial" w:hAnsi="Arial"/>
                <w:sz w:val="13"/>
                <w:szCs w:val="13"/>
                <w:color w:val="auto"/>
              </w:rPr>
              <w:t>Voatz, Inc.</w:t>
            </w: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176"/>
        </w:trPr>
        <w:tc>
          <w:tcPr>
            <w:tcW w:w="4580" w:type="dxa"/>
            <w:vAlign w:val="bottom"/>
          </w:tcPr>
          <w:p>
            <w:pPr>
              <w:ind w:left="540"/>
              <w:spacing w:after="0"/>
              <w:rPr>
                <w:sz w:val="20"/>
                <w:szCs w:val="20"/>
                <w:color w:val="auto"/>
              </w:rPr>
            </w:pPr>
            <w:r>
              <w:rPr>
                <w:rFonts w:ascii="Arial" w:cs="Arial" w:eastAsia="Arial" w:hAnsi="Arial"/>
                <w:sz w:val="13"/>
                <w:szCs w:val="13"/>
                <w:color w:val="auto"/>
              </w:rPr>
              <w:t>Series Seed preferred stock</w:t>
            </w: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385,516</w:t>
            </w:r>
          </w:p>
        </w:tc>
        <w:tc>
          <w:tcPr>
            <w:tcW w:w="200" w:type="dxa"/>
            <w:vAlign w:val="bottom"/>
          </w:tcPr>
          <w:p>
            <w:pPr>
              <w:spacing w:after="0"/>
              <w:rPr>
                <w:sz w:val="15"/>
                <w:szCs w:val="15"/>
                <w:color w:val="auto"/>
              </w:rPr>
            </w:pP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2,785,967</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2,607,820</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2.2 %</w:t>
            </w:r>
          </w:p>
        </w:tc>
      </w:tr>
      <w:tr>
        <w:trPr>
          <w:trHeight w:val="175"/>
        </w:trPr>
        <w:tc>
          <w:tcPr>
            <w:tcW w:w="4580" w:type="dxa"/>
            <w:vAlign w:val="bottom"/>
          </w:tcPr>
          <w:p>
            <w:pPr>
              <w:ind w:left="540"/>
              <w:spacing w:after="0"/>
              <w:rPr>
                <w:sz w:val="20"/>
                <w:szCs w:val="20"/>
                <w:color w:val="auto"/>
              </w:rPr>
            </w:pPr>
            <w:r>
              <w:rPr>
                <w:rFonts w:ascii="Arial" w:cs="Arial" w:eastAsia="Arial" w:hAnsi="Arial"/>
                <w:sz w:val="13"/>
                <w:szCs w:val="13"/>
                <w:color w:val="auto"/>
              </w:rPr>
              <w:t>Series A preferred stock</w:t>
            </w: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448,454</w:t>
            </w:r>
          </w:p>
        </w:tc>
        <w:tc>
          <w:tcPr>
            <w:tcW w:w="200" w:type="dxa"/>
            <w:vAlign w:val="bottom"/>
          </w:tcPr>
          <w:p>
            <w:pPr>
              <w:spacing w:after="0"/>
              <w:rPr>
                <w:sz w:val="15"/>
                <w:szCs w:val="15"/>
                <w:color w:val="auto"/>
              </w:rPr>
            </w:pP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3,240,795</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3,139,221</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2.6 %</w:t>
            </w:r>
          </w:p>
        </w:tc>
      </w:tr>
      <w:tr>
        <w:trPr>
          <w:trHeight w:val="175"/>
        </w:trPr>
        <w:tc>
          <w:tcPr>
            <w:tcW w:w="4580" w:type="dxa"/>
            <w:vAlign w:val="bottom"/>
          </w:tcPr>
          <w:p>
            <w:pPr>
              <w:ind w:left="540"/>
              <w:spacing w:after="0"/>
              <w:rPr>
                <w:sz w:val="20"/>
                <w:szCs w:val="20"/>
                <w:color w:val="auto"/>
              </w:rPr>
            </w:pPr>
            <w:r>
              <w:rPr>
                <w:rFonts w:ascii="Arial" w:cs="Arial" w:eastAsia="Arial" w:hAnsi="Arial"/>
                <w:sz w:val="13"/>
                <w:szCs w:val="13"/>
                <w:color w:val="auto"/>
              </w:rPr>
              <w:t>Series A-1 preferred stock</w:t>
            </w: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30,999</w:t>
            </w:r>
          </w:p>
        </w:tc>
        <w:tc>
          <w:tcPr>
            <w:tcW w:w="200" w:type="dxa"/>
            <w:vAlign w:val="bottom"/>
          </w:tcPr>
          <w:p>
            <w:pPr>
              <w:spacing w:after="0"/>
              <w:rPr>
                <w:sz w:val="15"/>
                <w:szCs w:val="15"/>
                <w:color w:val="auto"/>
              </w:rPr>
            </w:pP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224,017</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221,622</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0.2 %</w:t>
            </w:r>
          </w:p>
        </w:tc>
      </w:tr>
      <w:tr>
        <w:trPr>
          <w:trHeight w:val="175"/>
        </w:trPr>
        <w:tc>
          <w:tcPr>
            <w:tcW w:w="4580" w:type="dxa"/>
            <w:vAlign w:val="bottom"/>
          </w:tcPr>
          <w:p>
            <w:pPr>
              <w:ind w:left="540"/>
              <w:spacing w:after="0"/>
              <w:rPr>
                <w:sz w:val="20"/>
                <w:szCs w:val="20"/>
                <w:color w:val="auto"/>
              </w:rPr>
            </w:pPr>
            <w:r>
              <w:rPr>
                <w:rFonts w:ascii="Arial" w:cs="Arial" w:eastAsia="Arial" w:hAnsi="Arial"/>
                <w:sz w:val="13"/>
                <w:szCs w:val="13"/>
                <w:color w:val="auto"/>
              </w:rPr>
              <w:t>SAFE note</w:t>
            </w: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100,000</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100,000</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0.1 %</w:t>
            </w:r>
          </w:p>
        </w:tc>
      </w:tr>
      <w:tr>
        <w:trPr>
          <w:trHeight w:val="183"/>
        </w:trPr>
        <w:tc>
          <w:tcPr>
            <w:tcW w:w="4580" w:type="dxa"/>
            <w:vAlign w:val="bottom"/>
          </w:tcPr>
          <w:p>
            <w:pPr>
              <w:ind w:left="540"/>
              <w:spacing w:after="0"/>
              <w:rPr>
                <w:sz w:val="20"/>
                <w:szCs w:val="20"/>
                <w:color w:val="auto"/>
              </w:rPr>
            </w:pPr>
            <w:r>
              <w:rPr>
                <w:rFonts w:ascii="Arial" w:cs="Arial" w:eastAsia="Arial" w:hAnsi="Arial"/>
                <w:sz w:val="13"/>
                <w:szCs w:val="13"/>
                <w:color w:val="auto"/>
              </w:rPr>
              <w:t>SAFE note</w:t>
            </w: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150,000</w:t>
            </w:r>
          </w:p>
        </w:tc>
        <w:tc>
          <w:tcPr>
            <w:tcW w:w="200" w:type="dxa"/>
            <w:vAlign w:val="bottom"/>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150,000</w:t>
            </w:r>
          </w:p>
        </w:tc>
        <w:tc>
          <w:tcPr>
            <w:tcW w:w="200" w:type="dxa"/>
            <w:vAlign w:val="bottom"/>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0.1 %</w:t>
            </w:r>
          </w:p>
        </w:tc>
      </w:tr>
      <w:tr>
        <w:trPr>
          <w:trHeight w:val="169"/>
        </w:trPr>
        <w:tc>
          <w:tcPr>
            <w:tcW w:w="4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6,500,779</w:t>
            </w:r>
          </w:p>
        </w:tc>
        <w:tc>
          <w:tcPr>
            <w:tcW w:w="20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6,218,663</w:t>
            </w:r>
          </w:p>
        </w:tc>
        <w:tc>
          <w:tcPr>
            <w:tcW w:w="20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5.2 %</w:t>
            </w:r>
          </w:p>
        </w:tc>
      </w:tr>
      <w:tr>
        <w:trPr>
          <w:trHeight w:val="256"/>
        </w:trPr>
        <w:tc>
          <w:tcPr>
            <w:tcW w:w="4580" w:type="dxa"/>
            <w:vAlign w:val="bottom"/>
          </w:tcPr>
          <w:p>
            <w:pPr>
              <w:ind w:left="340"/>
              <w:spacing w:after="0"/>
              <w:rPr>
                <w:sz w:val="20"/>
                <w:szCs w:val="20"/>
                <w:color w:val="auto"/>
              </w:rPr>
            </w:pPr>
            <w:r>
              <w:rPr>
                <w:rFonts w:ascii="Arial" w:cs="Arial" w:eastAsia="Arial" w:hAnsi="Arial"/>
                <w:sz w:val="13"/>
                <w:szCs w:val="13"/>
                <w:color w:val="auto"/>
              </w:rPr>
              <w:t>Minds, Inc.</w:t>
            </w: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175"/>
        </w:trPr>
        <w:tc>
          <w:tcPr>
            <w:tcW w:w="4580" w:type="dxa"/>
            <w:vAlign w:val="bottom"/>
          </w:tcPr>
          <w:p>
            <w:pPr>
              <w:ind w:left="540"/>
              <w:spacing w:after="0"/>
              <w:rPr>
                <w:sz w:val="20"/>
                <w:szCs w:val="20"/>
                <w:color w:val="auto"/>
              </w:rPr>
            </w:pPr>
            <w:r>
              <w:rPr>
                <w:rFonts w:ascii="Arial" w:cs="Arial" w:eastAsia="Arial" w:hAnsi="Arial"/>
                <w:sz w:val="13"/>
                <w:szCs w:val="13"/>
                <w:color w:val="auto"/>
              </w:rPr>
              <w:t>Series A preferred stock</w:t>
            </w: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670,841</w:t>
            </w:r>
          </w:p>
        </w:tc>
        <w:tc>
          <w:tcPr>
            <w:tcW w:w="200" w:type="dxa"/>
            <w:vAlign w:val="bottom"/>
          </w:tcPr>
          <w:p>
            <w:pPr>
              <w:spacing w:after="0"/>
              <w:rPr>
                <w:sz w:val="15"/>
                <w:szCs w:val="15"/>
                <w:color w:val="auto"/>
              </w:rPr>
            </w:pP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5,999,995</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4,113,145</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3.5 %</w:t>
            </w:r>
          </w:p>
        </w:tc>
      </w:tr>
      <w:tr>
        <w:trPr>
          <w:trHeight w:val="284"/>
        </w:trPr>
        <w:tc>
          <w:tcPr>
            <w:tcW w:w="4580" w:type="dxa"/>
            <w:vAlign w:val="bottom"/>
          </w:tcPr>
          <w:p>
            <w:pPr>
              <w:ind w:left="340"/>
              <w:spacing w:after="0"/>
              <w:rPr>
                <w:sz w:val="20"/>
                <w:szCs w:val="20"/>
                <w:color w:val="auto"/>
              </w:rPr>
            </w:pPr>
            <w:r>
              <w:rPr>
                <w:rFonts w:ascii="Arial" w:cs="Arial" w:eastAsia="Arial" w:hAnsi="Arial"/>
                <w:sz w:val="13"/>
                <w:szCs w:val="13"/>
                <w:color w:val="auto"/>
              </w:rPr>
              <w:t>GrainChain, Inc.</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5"/>
        </w:trPr>
        <w:tc>
          <w:tcPr>
            <w:tcW w:w="4580" w:type="dxa"/>
            <w:vAlign w:val="bottom"/>
          </w:tcPr>
          <w:p>
            <w:pPr>
              <w:ind w:left="540"/>
              <w:spacing w:after="0"/>
              <w:rPr>
                <w:sz w:val="20"/>
                <w:szCs w:val="20"/>
                <w:color w:val="auto"/>
              </w:rPr>
            </w:pPr>
            <w:r>
              <w:rPr>
                <w:rFonts w:ascii="Arial" w:cs="Arial" w:eastAsia="Arial" w:hAnsi="Arial"/>
                <w:sz w:val="13"/>
                <w:szCs w:val="13"/>
                <w:color w:val="auto"/>
              </w:rPr>
              <w:t>Class A common stock</w:t>
            </w: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7,173,184</w:t>
            </w:r>
          </w:p>
        </w:tc>
        <w:tc>
          <w:tcPr>
            <w:tcW w:w="200" w:type="dxa"/>
            <w:vAlign w:val="bottom"/>
          </w:tcPr>
          <w:p>
            <w:pPr>
              <w:spacing w:after="0"/>
              <w:rPr>
                <w:sz w:val="15"/>
                <w:szCs w:val="15"/>
                <w:color w:val="auto"/>
              </w:rPr>
            </w:pP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8,392,625</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10,056,089</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8.5 %</w:t>
            </w:r>
          </w:p>
        </w:tc>
      </w:tr>
      <w:tr>
        <w:trPr>
          <w:trHeight w:val="175"/>
        </w:trPr>
        <w:tc>
          <w:tcPr>
            <w:tcW w:w="4580" w:type="dxa"/>
            <w:vAlign w:val="bottom"/>
          </w:tcPr>
          <w:p>
            <w:pPr>
              <w:ind w:left="540"/>
              <w:spacing w:after="0"/>
              <w:rPr>
                <w:sz w:val="20"/>
                <w:szCs w:val="20"/>
                <w:color w:val="auto"/>
              </w:rPr>
            </w:pPr>
            <w:r>
              <w:rPr>
                <w:rFonts w:ascii="Arial" w:cs="Arial" w:eastAsia="Arial" w:hAnsi="Arial"/>
                <w:sz w:val="13"/>
                <w:szCs w:val="13"/>
                <w:color w:val="auto"/>
              </w:rPr>
              <w:t>Class B common stock</w:t>
            </w: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2,391,061</w:t>
            </w:r>
          </w:p>
        </w:tc>
        <w:tc>
          <w:tcPr>
            <w:tcW w:w="200" w:type="dxa"/>
            <w:vAlign w:val="bottom"/>
          </w:tcPr>
          <w:p>
            <w:pPr>
              <w:spacing w:after="0"/>
              <w:rPr>
                <w:sz w:val="15"/>
                <w:szCs w:val="15"/>
                <w:color w:val="auto"/>
              </w:rPr>
            </w:pP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2,797,541</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3,352,029</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2.8 %</w:t>
            </w:r>
          </w:p>
        </w:tc>
      </w:tr>
      <w:tr>
        <w:trPr>
          <w:trHeight w:val="175"/>
        </w:trPr>
        <w:tc>
          <w:tcPr>
            <w:tcW w:w="4580" w:type="dxa"/>
            <w:vAlign w:val="bottom"/>
          </w:tcPr>
          <w:p>
            <w:pPr>
              <w:ind w:left="540"/>
              <w:spacing w:after="0"/>
              <w:rPr>
                <w:sz w:val="20"/>
                <w:szCs w:val="20"/>
                <w:color w:val="auto"/>
              </w:rPr>
            </w:pPr>
            <w:r>
              <w:rPr>
                <w:rFonts w:ascii="Arial" w:cs="Arial" w:eastAsia="Arial" w:hAnsi="Arial"/>
                <w:sz w:val="13"/>
                <w:szCs w:val="13"/>
                <w:color w:val="auto"/>
              </w:rPr>
              <w:t>SAFE note</w:t>
            </w: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1,000,000</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1,043,980</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0.9 %</w:t>
            </w:r>
          </w:p>
        </w:tc>
      </w:tr>
      <w:tr>
        <w:trPr>
          <w:trHeight w:val="183"/>
        </w:trPr>
        <w:tc>
          <w:tcPr>
            <w:tcW w:w="4580" w:type="dxa"/>
            <w:vAlign w:val="bottom"/>
          </w:tcPr>
          <w:p>
            <w:pPr>
              <w:ind w:left="540"/>
              <w:spacing w:after="0"/>
              <w:rPr>
                <w:sz w:val="20"/>
                <w:szCs w:val="20"/>
                <w:color w:val="auto"/>
              </w:rPr>
            </w:pPr>
            <w:r>
              <w:rPr>
                <w:rFonts w:ascii="Arial" w:cs="Arial" w:eastAsia="Arial" w:hAnsi="Arial"/>
                <w:sz w:val="13"/>
                <w:szCs w:val="13"/>
                <w:color w:val="auto"/>
              </w:rPr>
              <w:t>Convertible note</w:t>
            </w: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4,535,317</w:t>
            </w:r>
          </w:p>
        </w:tc>
        <w:tc>
          <w:tcPr>
            <w:tcW w:w="200" w:type="dxa"/>
            <w:vAlign w:val="bottom"/>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4,739,712</w:t>
            </w:r>
          </w:p>
        </w:tc>
        <w:tc>
          <w:tcPr>
            <w:tcW w:w="200" w:type="dxa"/>
            <w:vAlign w:val="bottom"/>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4.0 %</w:t>
            </w:r>
          </w:p>
        </w:tc>
      </w:tr>
      <w:tr>
        <w:trPr>
          <w:trHeight w:val="169"/>
        </w:trPr>
        <w:tc>
          <w:tcPr>
            <w:tcW w:w="4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16,725,483</w:t>
            </w:r>
          </w:p>
        </w:tc>
        <w:tc>
          <w:tcPr>
            <w:tcW w:w="20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19,191,810</w:t>
            </w:r>
          </w:p>
        </w:tc>
        <w:tc>
          <w:tcPr>
            <w:tcW w:w="20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16.2 %</w:t>
            </w:r>
          </w:p>
        </w:tc>
      </w:tr>
      <w:tr>
        <w:trPr>
          <w:trHeight w:val="256"/>
        </w:trPr>
        <w:tc>
          <w:tcPr>
            <w:tcW w:w="4580" w:type="dxa"/>
            <w:vAlign w:val="bottom"/>
          </w:tcPr>
          <w:p>
            <w:pPr>
              <w:ind w:left="340"/>
              <w:spacing w:after="0"/>
              <w:rPr>
                <w:sz w:val="20"/>
                <w:szCs w:val="20"/>
                <w:color w:val="auto"/>
              </w:rPr>
            </w:pPr>
            <w:r>
              <w:rPr>
                <w:rFonts w:ascii="Arial" w:cs="Arial" w:eastAsia="Arial" w:hAnsi="Arial"/>
                <w:sz w:val="13"/>
                <w:szCs w:val="13"/>
                <w:color w:val="auto"/>
              </w:rPr>
              <w:t>Spera, Inc.</w:t>
            </w: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175"/>
        </w:trPr>
        <w:tc>
          <w:tcPr>
            <w:tcW w:w="4580" w:type="dxa"/>
            <w:vAlign w:val="bottom"/>
          </w:tcPr>
          <w:p>
            <w:pPr>
              <w:ind w:left="540"/>
              <w:spacing w:after="0"/>
              <w:rPr>
                <w:sz w:val="20"/>
                <w:szCs w:val="20"/>
                <w:color w:val="auto"/>
              </w:rPr>
            </w:pPr>
            <w:r>
              <w:rPr>
                <w:rFonts w:ascii="Arial" w:cs="Arial" w:eastAsia="Arial" w:hAnsi="Arial"/>
                <w:sz w:val="13"/>
                <w:szCs w:val="13"/>
                <w:color w:val="auto"/>
              </w:rPr>
              <w:t>Series A preferred stock</w:t>
            </w: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2,670,583</w:t>
            </w:r>
          </w:p>
        </w:tc>
        <w:tc>
          <w:tcPr>
            <w:tcW w:w="200" w:type="dxa"/>
            <w:vAlign w:val="bottom"/>
          </w:tcPr>
          <w:p>
            <w:pPr>
              <w:spacing w:after="0"/>
              <w:rPr>
                <w:sz w:val="15"/>
                <w:szCs w:val="15"/>
                <w:color w:val="auto"/>
              </w:rPr>
            </w:pP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2,000,000</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2,707,922</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2.3 %</w:t>
            </w:r>
          </w:p>
        </w:tc>
      </w:tr>
      <w:tr>
        <w:trPr>
          <w:trHeight w:val="284"/>
        </w:trPr>
        <w:tc>
          <w:tcPr>
            <w:tcW w:w="4580" w:type="dxa"/>
            <w:vAlign w:val="bottom"/>
          </w:tcPr>
          <w:p>
            <w:pPr>
              <w:ind w:left="340"/>
              <w:spacing w:after="0"/>
              <w:rPr>
                <w:sz w:val="20"/>
                <w:szCs w:val="20"/>
                <w:color w:val="auto"/>
              </w:rPr>
            </w:pPr>
            <w:r>
              <w:rPr>
                <w:rFonts w:ascii="Arial" w:cs="Arial" w:eastAsia="Arial" w:hAnsi="Arial"/>
                <w:sz w:val="13"/>
                <w:szCs w:val="13"/>
                <w:color w:val="auto"/>
              </w:rPr>
              <w:t>FinClusive Capital, Inc.</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5"/>
        </w:trPr>
        <w:tc>
          <w:tcPr>
            <w:tcW w:w="4580" w:type="dxa"/>
            <w:vAlign w:val="bottom"/>
          </w:tcPr>
          <w:p>
            <w:pPr>
              <w:ind w:left="540"/>
              <w:spacing w:after="0"/>
              <w:rPr>
                <w:sz w:val="20"/>
                <w:szCs w:val="20"/>
                <w:color w:val="auto"/>
              </w:rPr>
            </w:pPr>
            <w:r>
              <w:rPr>
                <w:rFonts w:ascii="Arial" w:cs="Arial" w:eastAsia="Arial" w:hAnsi="Arial"/>
                <w:sz w:val="13"/>
                <w:szCs w:val="13"/>
                <w:color w:val="auto"/>
              </w:rPr>
              <w:t>Common stock</w:t>
            </w: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14,933</w:t>
            </w:r>
          </w:p>
        </w:tc>
        <w:tc>
          <w:tcPr>
            <w:tcW w:w="200" w:type="dxa"/>
            <w:vAlign w:val="bottom"/>
          </w:tcPr>
          <w:p>
            <w:pPr>
              <w:spacing w:after="0"/>
              <w:rPr>
                <w:sz w:val="15"/>
                <w:szCs w:val="15"/>
                <w:color w:val="auto"/>
              </w:rPr>
            </w:pP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3,733,250</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466,745</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0.4 %</w:t>
            </w:r>
          </w:p>
        </w:tc>
      </w:tr>
      <w:tr>
        <w:trPr>
          <w:trHeight w:val="175"/>
        </w:trPr>
        <w:tc>
          <w:tcPr>
            <w:tcW w:w="4580" w:type="dxa"/>
            <w:vAlign w:val="bottom"/>
          </w:tcPr>
          <w:p>
            <w:pPr>
              <w:ind w:left="540"/>
              <w:spacing w:after="0"/>
              <w:rPr>
                <w:sz w:val="20"/>
                <w:szCs w:val="20"/>
                <w:color w:val="auto"/>
              </w:rPr>
            </w:pPr>
            <w:r>
              <w:rPr>
                <w:rFonts w:ascii="Arial" w:cs="Arial" w:eastAsia="Arial" w:hAnsi="Arial"/>
                <w:sz w:val="13"/>
                <w:szCs w:val="13"/>
                <w:color w:val="auto"/>
              </w:rPr>
              <w:t>Convertible note</w:t>
            </w: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1,001,118</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1,098,660</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0.9 %</w:t>
            </w:r>
          </w:p>
        </w:tc>
      </w:tr>
      <w:tr>
        <w:trPr>
          <w:trHeight w:val="183"/>
        </w:trPr>
        <w:tc>
          <w:tcPr>
            <w:tcW w:w="4580" w:type="dxa"/>
            <w:vAlign w:val="bottom"/>
          </w:tcPr>
          <w:p>
            <w:pPr>
              <w:ind w:left="540"/>
              <w:spacing w:after="0"/>
              <w:rPr>
                <w:sz w:val="20"/>
                <w:szCs w:val="20"/>
                <w:color w:val="auto"/>
              </w:rPr>
            </w:pPr>
            <w:r>
              <w:rPr>
                <w:rFonts w:ascii="Arial" w:cs="Arial" w:eastAsia="Arial" w:hAnsi="Arial"/>
                <w:sz w:val="13"/>
                <w:szCs w:val="13"/>
                <w:color w:val="auto"/>
              </w:rPr>
              <w:t>Convertible note</w:t>
            </w: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518,625</w:t>
            </w:r>
          </w:p>
        </w:tc>
        <w:tc>
          <w:tcPr>
            <w:tcW w:w="200" w:type="dxa"/>
            <w:vAlign w:val="bottom"/>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568,632</w:t>
            </w:r>
          </w:p>
        </w:tc>
        <w:tc>
          <w:tcPr>
            <w:tcW w:w="200" w:type="dxa"/>
            <w:vAlign w:val="bottom"/>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0.5 %</w:t>
            </w:r>
          </w:p>
        </w:tc>
      </w:tr>
      <w:tr>
        <w:trPr>
          <w:trHeight w:val="171"/>
        </w:trPr>
        <w:tc>
          <w:tcPr>
            <w:tcW w:w="4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5,252,993</w:t>
            </w:r>
          </w:p>
        </w:tc>
        <w:tc>
          <w:tcPr>
            <w:tcW w:w="20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2,134,037</w:t>
            </w:r>
          </w:p>
        </w:tc>
        <w:tc>
          <w:tcPr>
            <w:tcW w:w="20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1.8 %</w:t>
            </w:r>
          </w:p>
        </w:tc>
      </w:tr>
    </w:tbl>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(continued)</w:t>
      </w:r>
    </w:p>
    <w:p>
      <w:pPr>
        <w:sectPr>
          <w:pgSz w:w="11900" w:h="16838" w:orient="portrait"/>
          <w:cols w:equalWidth="0" w:num="1">
            <w:col w:w="10860"/>
          </w:cols>
          <w:pgMar w:left="520" w:top="1201" w:right="519" w:bottom="1440" w:gutter="0" w:footer="0" w:header="0"/>
        </w:sectPr>
      </w:pPr>
    </w:p>
    <w:bookmarkStart w:id="108" w:name="page109"/>
    <w:bookmarkEnd w:id="108"/>
    <w:p>
      <w:pPr>
        <w:jc w:val="center"/>
        <w:ind w:left="4500"/>
        <w:spacing w:after="0"/>
        <w:rPr>
          <w:sz w:val="20"/>
          <w:szCs w:val="20"/>
          <w:color w:val="auto"/>
        </w:rPr>
      </w:pPr>
      <w:r>
        <w:rPr>
          <w:rFonts w:ascii="Arial" w:cs="Arial" w:eastAsia="Arial" w:hAnsi="Arial"/>
          <w:sz w:val="13"/>
          <w:szCs w:val="13"/>
          <w:b w:val="1"/>
          <w:bCs w:val="1"/>
          <w:color w:val="auto"/>
        </w:rPr>
        <w:t>MEDICI VENTURES, L.P.</w:t>
      </w:r>
    </w:p>
    <w:p>
      <w:pPr>
        <w:spacing w:after="0" w:line="26" w:lineRule="exact"/>
        <w:rPr>
          <w:sz w:val="20"/>
          <w:szCs w:val="20"/>
          <w:color w:val="auto"/>
        </w:rPr>
      </w:pPr>
    </w:p>
    <w:p>
      <w:pPr>
        <w:jc w:val="center"/>
        <w:ind w:left="4500"/>
        <w:spacing w:after="0"/>
        <w:rPr>
          <w:sz w:val="20"/>
          <w:szCs w:val="20"/>
          <w:color w:val="auto"/>
        </w:rPr>
      </w:pPr>
      <w:r>
        <w:rPr>
          <w:rFonts w:ascii="Arial" w:cs="Arial" w:eastAsia="Arial" w:hAnsi="Arial"/>
          <w:sz w:val="12"/>
          <w:szCs w:val="12"/>
          <w:color w:val="auto"/>
        </w:rPr>
        <w:t>(A Delaware Limited Partnership)</w:t>
      </w:r>
    </w:p>
    <w:p>
      <w:pPr>
        <w:spacing w:after="0" w:line="38" w:lineRule="exact"/>
        <w:rPr>
          <w:sz w:val="20"/>
          <w:szCs w:val="20"/>
          <w:color w:val="auto"/>
        </w:rPr>
      </w:pPr>
    </w:p>
    <w:p>
      <w:pPr>
        <w:jc w:val="center"/>
        <w:ind w:left="4500"/>
        <w:spacing w:after="0"/>
        <w:rPr>
          <w:sz w:val="20"/>
          <w:szCs w:val="20"/>
          <w:color w:val="auto"/>
        </w:rPr>
      </w:pPr>
      <w:r>
        <w:rPr>
          <w:rFonts w:ascii="Arial" w:cs="Arial" w:eastAsia="Arial" w:hAnsi="Arial"/>
          <w:sz w:val="13"/>
          <w:szCs w:val="13"/>
          <w:color w:val="auto"/>
        </w:rPr>
        <w:t>Schedule of Investments</w:t>
      </w:r>
    </w:p>
    <w:p>
      <w:pPr>
        <w:spacing w:after="0" w:line="26" w:lineRule="exact"/>
        <w:rPr>
          <w:sz w:val="20"/>
          <w:szCs w:val="20"/>
          <w:color w:val="auto"/>
        </w:rPr>
      </w:pPr>
    </w:p>
    <w:p>
      <w:pPr>
        <w:jc w:val="center"/>
        <w:ind w:left="4500"/>
        <w:spacing w:after="0"/>
        <w:rPr>
          <w:sz w:val="20"/>
          <w:szCs w:val="20"/>
          <w:color w:val="auto"/>
        </w:rPr>
      </w:pPr>
      <w:r>
        <w:rPr>
          <w:rFonts w:ascii="Arial" w:cs="Arial" w:eastAsia="Arial" w:hAnsi="Arial"/>
          <w:sz w:val="13"/>
          <w:szCs w:val="13"/>
          <w:color w:val="auto"/>
        </w:rPr>
        <w:t>September 30, 2023</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80" w:type="dxa"/>
            <w:vAlign w:val="bottom"/>
          </w:tcPr>
          <w:p>
            <w:pPr>
              <w:spacing w:after="0"/>
              <w:rPr>
                <w:sz w:val="14"/>
                <w:szCs w:val="14"/>
                <w:color w:val="auto"/>
              </w:rPr>
            </w:pPr>
          </w:p>
        </w:tc>
        <w:tc>
          <w:tcPr>
            <w:tcW w:w="1400" w:type="dxa"/>
            <w:vAlign w:val="bottom"/>
          </w:tcPr>
          <w:p>
            <w:pPr>
              <w:jc w:val="right"/>
              <w:ind w:right="317"/>
              <w:spacing w:after="0"/>
              <w:rPr>
                <w:sz w:val="20"/>
                <w:szCs w:val="20"/>
                <w:color w:val="auto"/>
              </w:rPr>
            </w:pPr>
            <w:r>
              <w:rPr>
                <w:rFonts w:ascii="Arial" w:cs="Arial" w:eastAsia="Arial" w:hAnsi="Arial"/>
                <w:sz w:val="13"/>
                <w:szCs w:val="13"/>
                <w:b w:val="1"/>
                <w:bCs w:val="1"/>
                <w:color w:val="auto"/>
              </w:rPr>
              <w:t>Number of</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1"/>
                <w:szCs w:val="21"/>
                <w:color w:val="auto"/>
              </w:rPr>
            </w:pPr>
          </w:p>
        </w:tc>
        <w:tc>
          <w:tcPr>
            <w:tcW w:w="1400" w:type="dxa"/>
            <w:vAlign w:val="bottom"/>
          </w:tcPr>
          <w:p>
            <w:pPr>
              <w:jc w:val="right"/>
              <w:ind w:right="277"/>
              <w:spacing w:after="0"/>
              <w:rPr>
                <w:sz w:val="20"/>
                <w:szCs w:val="20"/>
                <w:color w:val="auto"/>
              </w:rPr>
            </w:pPr>
            <w:r>
              <w:rPr>
                <w:rFonts w:ascii="Arial" w:cs="Arial" w:eastAsia="Arial" w:hAnsi="Arial"/>
                <w:sz w:val="13"/>
                <w:szCs w:val="13"/>
                <w:b w:val="1"/>
                <w:bCs w:val="1"/>
                <w:color w:val="auto"/>
              </w:rPr>
              <w:t>shares/units</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4580" w:type="dxa"/>
            <w:vAlign w:val="bottom"/>
            <w:vMerge w:val="restart"/>
          </w:tcPr>
          <w:p>
            <w:pPr>
              <w:ind w:left="340"/>
              <w:spacing w:after="0"/>
              <w:rPr>
                <w:sz w:val="20"/>
                <w:szCs w:val="20"/>
                <w:color w:val="auto"/>
              </w:rPr>
            </w:pPr>
            <w:r>
              <w:rPr>
                <w:rFonts w:ascii="Arial" w:cs="Arial" w:eastAsia="Arial" w:hAnsi="Arial"/>
                <w:sz w:val="13"/>
                <w:szCs w:val="13"/>
                <w:color w:val="auto"/>
              </w:rPr>
              <w:t>Vital Chain, Inc.</w:t>
            </w: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580" w:type="dxa"/>
            <w:vAlign w:val="bottom"/>
          </w:tcPr>
          <w:p>
            <w:pPr>
              <w:ind w:left="540"/>
              <w:spacing w:after="0"/>
              <w:rPr>
                <w:sz w:val="20"/>
                <w:szCs w:val="20"/>
                <w:color w:val="auto"/>
              </w:rPr>
            </w:pPr>
            <w:r>
              <w:rPr>
                <w:rFonts w:ascii="Arial" w:cs="Arial" w:eastAsia="Arial" w:hAnsi="Arial"/>
                <w:sz w:val="13"/>
                <w:szCs w:val="13"/>
                <w:color w:val="auto"/>
              </w:rPr>
              <w:t>Common stock</w:t>
            </w: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721,658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3"/>
        </w:trPr>
        <w:tc>
          <w:tcPr>
            <w:tcW w:w="4580" w:type="dxa"/>
            <w:vAlign w:val="bottom"/>
          </w:tcPr>
          <w:p>
            <w:pPr>
              <w:ind w:left="340"/>
              <w:spacing w:after="0"/>
              <w:rPr>
                <w:sz w:val="20"/>
                <w:szCs w:val="20"/>
                <w:color w:val="auto"/>
              </w:rPr>
            </w:pPr>
            <w:r>
              <w:rPr>
                <w:rFonts w:ascii="Arial" w:cs="Arial" w:eastAsia="Arial" w:hAnsi="Arial"/>
                <w:sz w:val="13"/>
                <w:szCs w:val="13"/>
                <w:color w:val="auto"/>
              </w:rPr>
              <w:t>Chainstone labs, Inc.</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580" w:type="dxa"/>
            <w:vAlign w:val="bottom"/>
          </w:tcPr>
          <w:p>
            <w:pPr>
              <w:ind w:left="540"/>
              <w:spacing w:after="0"/>
              <w:rPr>
                <w:sz w:val="20"/>
                <w:szCs w:val="20"/>
                <w:color w:val="auto"/>
              </w:rPr>
            </w:pPr>
            <w:r>
              <w:rPr>
                <w:rFonts w:ascii="Arial" w:cs="Arial" w:eastAsia="Arial" w:hAnsi="Arial"/>
                <w:sz w:val="13"/>
                <w:szCs w:val="13"/>
                <w:color w:val="auto"/>
              </w:rPr>
              <w:t>Common stock</w:t>
            </w: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3,600,000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4580" w:type="dxa"/>
            <w:vAlign w:val="bottom"/>
          </w:tcPr>
          <w:p>
            <w:pPr>
              <w:ind w:left="340"/>
              <w:spacing w:after="0"/>
              <w:rPr>
                <w:sz w:val="20"/>
                <w:szCs w:val="20"/>
                <w:color w:val="auto"/>
              </w:rPr>
            </w:pPr>
            <w:r>
              <w:rPr>
                <w:rFonts w:ascii="Arial" w:cs="Arial" w:eastAsia="Arial" w:hAnsi="Arial"/>
                <w:sz w:val="13"/>
                <w:szCs w:val="13"/>
                <w:color w:val="auto"/>
              </w:rPr>
              <w:t>SpeedRoute</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580" w:type="dxa"/>
            <w:vAlign w:val="bottom"/>
          </w:tcPr>
          <w:p>
            <w:pPr>
              <w:ind w:left="540"/>
              <w:spacing w:after="0"/>
              <w:rPr>
                <w:sz w:val="20"/>
                <w:szCs w:val="20"/>
                <w:color w:val="auto"/>
              </w:rPr>
            </w:pPr>
            <w:r>
              <w:rPr>
                <w:rFonts w:ascii="Arial" w:cs="Arial" w:eastAsia="Arial" w:hAnsi="Arial"/>
                <w:sz w:val="13"/>
                <w:szCs w:val="13"/>
                <w:color w:val="auto"/>
              </w:rPr>
              <w:t>Class A units</w:t>
            </w: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4580" w:type="dxa"/>
            <w:vAlign w:val="bottom"/>
          </w:tcPr>
          <w:p>
            <w:pPr>
              <w:ind w:left="340"/>
              <w:spacing w:after="0"/>
              <w:rPr>
                <w:sz w:val="20"/>
                <w:szCs w:val="20"/>
                <w:color w:val="auto"/>
              </w:rPr>
            </w:pPr>
            <w:r>
              <w:rPr>
                <w:rFonts w:ascii="Arial" w:cs="Arial" w:eastAsia="Arial" w:hAnsi="Arial"/>
                <w:sz w:val="13"/>
                <w:szCs w:val="13"/>
                <w:color w:val="auto"/>
              </w:rPr>
              <w:t>Votem Corp.</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580" w:type="dxa"/>
            <w:vAlign w:val="bottom"/>
          </w:tcPr>
          <w:p>
            <w:pPr>
              <w:ind w:left="540"/>
              <w:spacing w:after="0"/>
              <w:rPr>
                <w:sz w:val="20"/>
                <w:szCs w:val="20"/>
                <w:color w:val="auto"/>
              </w:rPr>
            </w:pPr>
            <w:r>
              <w:rPr>
                <w:rFonts w:ascii="Arial" w:cs="Arial" w:eastAsia="Arial" w:hAnsi="Arial"/>
                <w:sz w:val="13"/>
                <w:szCs w:val="13"/>
                <w:color w:val="auto"/>
              </w:rPr>
              <w:t>Series B preferred stock</w:t>
            </w: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48,780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4580" w:type="dxa"/>
            <w:vAlign w:val="bottom"/>
          </w:tcPr>
          <w:p>
            <w:pPr>
              <w:ind w:left="340"/>
              <w:spacing w:after="0"/>
              <w:rPr>
                <w:sz w:val="20"/>
                <w:szCs w:val="20"/>
                <w:color w:val="auto"/>
              </w:rPr>
            </w:pPr>
            <w:r>
              <w:rPr>
                <w:rFonts w:ascii="Arial" w:cs="Arial" w:eastAsia="Arial" w:hAnsi="Arial"/>
                <w:sz w:val="13"/>
                <w:szCs w:val="13"/>
                <w:color w:val="auto"/>
              </w:rPr>
              <w:t>Netki, Inc.</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580" w:type="dxa"/>
            <w:vAlign w:val="bottom"/>
          </w:tcPr>
          <w:p>
            <w:pPr>
              <w:ind w:left="540"/>
              <w:spacing w:after="0"/>
              <w:rPr>
                <w:sz w:val="20"/>
                <w:szCs w:val="20"/>
                <w:color w:val="auto"/>
              </w:rPr>
            </w:pPr>
            <w:r>
              <w:rPr>
                <w:rFonts w:ascii="Arial" w:cs="Arial" w:eastAsia="Arial" w:hAnsi="Arial"/>
                <w:sz w:val="13"/>
                <w:szCs w:val="13"/>
                <w:color w:val="auto"/>
              </w:rPr>
              <w:t>Convertible note</w:t>
            </w: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4580" w:type="dxa"/>
            <w:vAlign w:val="bottom"/>
          </w:tcPr>
          <w:p>
            <w:pPr>
              <w:ind w:left="180"/>
              <w:spacing w:after="0"/>
              <w:rPr>
                <w:sz w:val="20"/>
                <w:szCs w:val="20"/>
                <w:color w:val="auto"/>
              </w:rPr>
            </w:pPr>
            <w:r>
              <w:rPr>
                <w:rFonts w:ascii="Arial" w:cs="Arial" w:eastAsia="Arial" w:hAnsi="Arial"/>
                <w:sz w:val="13"/>
                <w:szCs w:val="13"/>
                <w:b w:val="1"/>
                <w:bCs w:val="1"/>
                <w:color w:val="auto"/>
              </w:rPr>
              <w:t>Total United States</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580" w:type="dxa"/>
            <w:vAlign w:val="bottom"/>
          </w:tcPr>
          <w:p>
            <w:pPr>
              <w:ind w:left="180"/>
              <w:spacing w:after="0"/>
              <w:rPr>
                <w:sz w:val="20"/>
                <w:szCs w:val="20"/>
                <w:color w:val="auto"/>
              </w:rPr>
            </w:pPr>
            <w:r>
              <w:rPr>
                <w:rFonts w:ascii="Arial" w:cs="Arial" w:eastAsia="Arial" w:hAnsi="Arial"/>
                <w:sz w:val="13"/>
                <w:szCs w:val="13"/>
                <w:b w:val="1"/>
                <w:bCs w:val="1"/>
                <w:color w:val="auto"/>
              </w:rPr>
              <w:t>Cayman Islands</w:t>
            </w: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80" w:type="dxa"/>
            <w:vAlign w:val="bottom"/>
          </w:tcPr>
          <w:p>
            <w:pPr>
              <w:ind w:left="340"/>
              <w:spacing w:after="0"/>
              <w:rPr>
                <w:sz w:val="20"/>
                <w:szCs w:val="20"/>
                <w:color w:val="auto"/>
              </w:rPr>
            </w:pPr>
            <w:r>
              <w:rPr>
                <w:rFonts w:ascii="Arial" w:cs="Arial" w:eastAsia="Arial" w:hAnsi="Arial"/>
                <w:sz w:val="13"/>
                <w:szCs w:val="13"/>
                <w:color w:val="auto"/>
              </w:rPr>
              <w:t>Ripio Holding, Inc.</w:t>
            </w: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80" w:type="dxa"/>
            <w:vAlign w:val="bottom"/>
          </w:tcPr>
          <w:p>
            <w:pPr>
              <w:ind w:left="540"/>
              <w:spacing w:after="0"/>
              <w:rPr>
                <w:sz w:val="20"/>
                <w:szCs w:val="20"/>
                <w:color w:val="auto"/>
              </w:rPr>
            </w:pPr>
            <w:r>
              <w:rPr>
                <w:rFonts w:ascii="Arial" w:cs="Arial" w:eastAsia="Arial" w:hAnsi="Arial"/>
                <w:sz w:val="13"/>
                <w:szCs w:val="13"/>
                <w:color w:val="auto"/>
              </w:rPr>
              <w:t>Series A-1 preferred stock</w:t>
            </w: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268,641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tcPr>
          <w:p>
            <w:pPr>
              <w:ind w:left="540"/>
              <w:spacing w:after="0"/>
              <w:rPr>
                <w:sz w:val="20"/>
                <w:szCs w:val="20"/>
                <w:color w:val="auto"/>
              </w:rPr>
            </w:pPr>
            <w:r>
              <w:rPr>
                <w:rFonts w:ascii="Arial" w:cs="Arial" w:eastAsia="Arial" w:hAnsi="Arial"/>
                <w:sz w:val="13"/>
                <w:szCs w:val="13"/>
                <w:color w:val="auto"/>
              </w:rPr>
              <w:t>Series B preferred stock</w:t>
            </w: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59,990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ind w:left="540"/>
              <w:spacing w:after="0"/>
              <w:rPr>
                <w:sz w:val="20"/>
                <w:szCs w:val="20"/>
                <w:color w:val="auto"/>
              </w:rPr>
            </w:pPr>
            <w:r>
              <w:rPr>
                <w:rFonts w:ascii="Arial" w:cs="Arial" w:eastAsia="Arial" w:hAnsi="Arial"/>
                <w:sz w:val="13"/>
                <w:szCs w:val="13"/>
                <w:color w:val="auto"/>
              </w:rPr>
              <w:t>Warrants</w:t>
            </w: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5,999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7"/>
        </w:trPr>
        <w:tc>
          <w:tcPr>
            <w:tcW w:w="4580" w:type="dxa"/>
            <w:vAlign w:val="bottom"/>
          </w:tcPr>
          <w:p>
            <w:pPr>
              <w:ind w:left="220"/>
              <w:spacing w:after="0"/>
              <w:rPr>
                <w:sz w:val="20"/>
                <w:szCs w:val="20"/>
                <w:color w:val="auto"/>
              </w:rPr>
            </w:pPr>
            <w:r>
              <w:rPr>
                <w:rFonts w:ascii="Arial" w:cs="Arial" w:eastAsia="Arial" w:hAnsi="Arial"/>
                <w:sz w:val="13"/>
                <w:szCs w:val="13"/>
                <w:b w:val="1"/>
                <w:bCs w:val="1"/>
                <w:color w:val="auto"/>
              </w:rPr>
              <w:t>Total Cayman Islands</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580" w:type="dxa"/>
            <w:vAlign w:val="bottom"/>
          </w:tcPr>
          <w:p>
            <w:pPr>
              <w:ind w:left="220"/>
              <w:spacing w:after="0"/>
              <w:rPr>
                <w:sz w:val="20"/>
                <w:szCs w:val="20"/>
                <w:color w:val="auto"/>
              </w:rPr>
            </w:pPr>
            <w:r>
              <w:rPr>
                <w:rFonts w:ascii="Arial" w:cs="Arial" w:eastAsia="Arial" w:hAnsi="Arial"/>
                <w:sz w:val="13"/>
                <w:szCs w:val="13"/>
                <w:b w:val="1"/>
                <w:bCs w:val="1"/>
                <w:color w:val="auto"/>
              </w:rPr>
              <w:t>Belgium</w:t>
            </w: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580" w:type="dxa"/>
            <w:vAlign w:val="bottom"/>
          </w:tcPr>
          <w:p>
            <w:pPr>
              <w:ind w:left="340"/>
              <w:spacing w:after="0"/>
              <w:rPr>
                <w:sz w:val="20"/>
                <w:szCs w:val="20"/>
                <w:color w:val="auto"/>
              </w:rPr>
            </w:pPr>
            <w:r>
              <w:rPr>
                <w:rFonts w:ascii="Arial" w:cs="Arial" w:eastAsia="Arial" w:hAnsi="Arial"/>
                <w:sz w:val="13"/>
                <w:szCs w:val="13"/>
                <w:color w:val="auto"/>
              </w:rPr>
              <w:t>Settlemint NV</w:t>
            </w: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80" w:type="dxa"/>
            <w:vAlign w:val="bottom"/>
          </w:tcPr>
          <w:p>
            <w:pPr>
              <w:ind w:left="540"/>
              <w:spacing w:after="0"/>
              <w:rPr>
                <w:sz w:val="20"/>
                <w:szCs w:val="20"/>
                <w:color w:val="auto"/>
              </w:rPr>
            </w:pPr>
            <w:r>
              <w:rPr>
                <w:rFonts w:ascii="Arial" w:cs="Arial" w:eastAsia="Arial" w:hAnsi="Arial"/>
                <w:sz w:val="13"/>
                <w:szCs w:val="13"/>
                <w:color w:val="auto"/>
              </w:rPr>
              <w:t>Series Pre-Seed preferred stock</w:t>
            </w: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214,300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ind w:left="540"/>
              <w:spacing w:after="0"/>
              <w:rPr>
                <w:sz w:val="20"/>
                <w:szCs w:val="20"/>
                <w:color w:val="auto"/>
              </w:rPr>
            </w:pPr>
            <w:r>
              <w:rPr>
                <w:rFonts w:ascii="Arial" w:cs="Arial" w:eastAsia="Arial" w:hAnsi="Arial"/>
                <w:sz w:val="13"/>
                <w:szCs w:val="13"/>
                <w:color w:val="auto"/>
              </w:rPr>
              <w:t>Series Seed preferred stock</w:t>
            </w: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37,450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ind w:left="540"/>
              <w:spacing w:after="0"/>
              <w:rPr>
                <w:sz w:val="20"/>
                <w:szCs w:val="20"/>
                <w:color w:val="auto"/>
              </w:rPr>
            </w:pPr>
            <w:r>
              <w:rPr>
                <w:rFonts w:ascii="Arial" w:cs="Arial" w:eastAsia="Arial" w:hAnsi="Arial"/>
                <w:sz w:val="13"/>
                <w:szCs w:val="13"/>
                <w:color w:val="auto"/>
              </w:rPr>
              <w:t>Series A preferred stock</w:t>
            </w: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14,088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6"/>
        </w:trPr>
        <w:tc>
          <w:tcPr>
            <w:tcW w:w="4580" w:type="dxa"/>
            <w:vAlign w:val="bottom"/>
          </w:tcPr>
          <w:p>
            <w:pPr>
              <w:ind w:left="220"/>
              <w:spacing w:after="0"/>
              <w:rPr>
                <w:sz w:val="20"/>
                <w:szCs w:val="20"/>
                <w:color w:val="auto"/>
              </w:rPr>
            </w:pPr>
            <w:r>
              <w:rPr>
                <w:rFonts w:ascii="Arial" w:cs="Arial" w:eastAsia="Arial" w:hAnsi="Arial"/>
                <w:sz w:val="13"/>
                <w:szCs w:val="13"/>
                <w:b w:val="1"/>
                <w:bCs w:val="1"/>
                <w:color w:val="auto"/>
              </w:rPr>
              <w:t>Total Belgium</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580" w:type="dxa"/>
            <w:vAlign w:val="bottom"/>
          </w:tcPr>
          <w:p>
            <w:pPr>
              <w:ind w:left="220"/>
              <w:spacing w:after="0"/>
              <w:rPr>
                <w:sz w:val="20"/>
                <w:szCs w:val="20"/>
                <w:color w:val="auto"/>
              </w:rPr>
            </w:pPr>
            <w:r>
              <w:rPr>
                <w:rFonts w:ascii="Arial" w:cs="Arial" w:eastAsia="Arial" w:hAnsi="Arial"/>
                <w:sz w:val="13"/>
                <w:szCs w:val="13"/>
                <w:b w:val="1"/>
                <w:bCs w:val="1"/>
                <w:color w:val="auto"/>
              </w:rPr>
              <w:t>Luxemborg</w:t>
            </w: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580" w:type="dxa"/>
            <w:vAlign w:val="bottom"/>
          </w:tcPr>
          <w:p>
            <w:pPr>
              <w:ind w:left="340"/>
              <w:spacing w:after="0"/>
              <w:rPr>
                <w:sz w:val="20"/>
                <w:szCs w:val="20"/>
                <w:color w:val="auto"/>
              </w:rPr>
            </w:pPr>
            <w:r>
              <w:rPr>
                <w:rFonts w:ascii="Arial" w:cs="Arial" w:eastAsia="Arial" w:hAnsi="Arial"/>
                <w:sz w:val="13"/>
                <w:szCs w:val="13"/>
                <w:color w:val="auto"/>
              </w:rPr>
              <w:t>Ambr S.a.r.l</w:t>
            </w: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80" w:type="dxa"/>
            <w:vAlign w:val="bottom"/>
          </w:tcPr>
          <w:p>
            <w:pPr>
              <w:ind w:left="540"/>
              <w:spacing w:after="0"/>
              <w:rPr>
                <w:sz w:val="20"/>
                <w:szCs w:val="20"/>
                <w:color w:val="auto"/>
              </w:rPr>
            </w:pPr>
            <w:r>
              <w:rPr>
                <w:rFonts w:ascii="Arial" w:cs="Arial" w:eastAsia="Arial" w:hAnsi="Arial"/>
                <w:sz w:val="13"/>
                <w:szCs w:val="13"/>
                <w:color w:val="auto"/>
              </w:rPr>
              <w:t>Preferred stock</w:t>
            </w: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3,755,869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7"/>
        </w:trPr>
        <w:tc>
          <w:tcPr>
            <w:tcW w:w="4580" w:type="dxa"/>
            <w:vAlign w:val="bottom"/>
          </w:tcPr>
          <w:p>
            <w:pPr>
              <w:ind w:left="220"/>
              <w:spacing w:after="0"/>
              <w:rPr>
                <w:sz w:val="20"/>
                <w:szCs w:val="20"/>
                <w:color w:val="auto"/>
              </w:rPr>
            </w:pPr>
            <w:r>
              <w:rPr>
                <w:rFonts w:ascii="Arial" w:cs="Arial" w:eastAsia="Arial" w:hAnsi="Arial"/>
                <w:sz w:val="13"/>
                <w:szCs w:val="13"/>
                <w:b w:val="1"/>
                <w:bCs w:val="1"/>
                <w:color w:val="auto"/>
              </w:rPr>
              <w:t>Total Luxemborg</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580" w:type="dxa"/>
            <w:vAlign w:val="bottom"/>
          </w:tcPr>
          <w:p>
            <w:pPr>
              <w:spacing w:after="0"/>
              <w:rPr>
                <w:sz w:val="20"/>
                <w:szCs w:val="20"/>
                <w:color w:val="auto"/>
              </w:rPr>
            </w:pPr>
            <w:r>
              <w:rPr>
                <w:rFonts w:ascii="Arial" w:cs="Arial" w:eastAsia="Arial" w:hAnsi="Arial"/>
                <w:sz w:val="13"/>
                <w:szCs w:val="13"/>
                <w:b w:val="1"/>
                <w:bCs w:val="1"/>
                <w:color w:val="auto"/>
              </w:rPr>
              <w:t>Total portfolio investments, at fair value</w:t>
            </w:r>
          </w:p>
        </w:tc>
        <w:tc>
          <w:tcPr>
            <w:tcW w:w="14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3180" w:firstLine="8"/>
        <w:spacing w:after="0" w:line="1045" w:lineRule="auto"/>
        <w:tabs>
          <w:tab w:leader="none" w:pos="135" w:val="left"/>
        </w:tabs>
        <w:numPr>
          <w:ilvl w:val="0"/>
          <w:numId w:val="50"/>
        </w:numPr>
        <w:rPr>
          <w:rFonts w:ascii="Arial" w:cs="Arial" w:eastAsia="Arial" w:hAnsi="Arial"/>
          <w:sz w:val="15"/>
          <w:szCs w:val="15"/>
          <w:color w:val="auto"/>
          <w:vertAlign w:val="superscript"/>
        </w:rPr>
      </w:pPr>
      <w:r>
        <w:rPr>
          <w:rFonts w:ascii="Arial" w:cs="Arial" w:eastAsia="Arial" w:hAnsi="Arial"/>
          <w:sz w:val="12"/>
          <w:szCs w:val="12"/>
          <w:color w:val="auto"/>
        </w:rPr>
        <w:t>As determined by the General Partner (notes 2 and 3). See accompanying notes to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6"/>
              </w:rPr>
              <w:t>Percentage</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7"/>
              </w:rPr>
              <w:t>of partners’</w:t>
            </w:r>
          </w:p>
        </w:tc>
        <w:tc>
          <w:tcPr>
            <w:tcW w:w="0" w:type="dxa"/>
            <w:vAlign w:val="bottom"/>
          </w:tcPr>
          <w:p>
            <w:pPr>
              <w:spacing w:after="0"/>
              <w:rPr>
                <w:sz w:val="1"/>
                <w:szCs w:val="1"/>
                <w:color w:val="auto"/>
              </w:rPr>
            </w:pPr>
          </w:p>
        </w:tc>
      </w:tr>
      <w:tr>
        <w:trPr>
          <w:trHeight w:val="264"/>
        </w:trPr>
        <w:tc>
          <w:tcPr>
            <w:tcW w:w="840" w:type="dxa"/>
            <w:vAlign w:val="bottom"/>
          </w:tcPr>
          <w:p>
            <w:pPr>
              <w:jc w:val="right"/>
              <w:ind w:right="497"/>
              <w:spacing w:after="0"/>
              <w:rPr>
                <w:sz w:val="20"/>
                <w:szCs w:val="20"/>
                <w:color w:val="auto"/>
              </w:rPr>
            </w:pPr>
            <w:r>
              <w:rPr>
                <w:rFonts w:ascii="Arial" w:cs="Arial" w:eastAsia="Arial" w:hAnsi="Arial"/>
                <w:sz w:val="13"/>
                <w:szCs w:val="13"/>
                <w:b w:val="1"/>
                <w:bCs w:val="1"/>
                <w:color w:val="auto"/>
                <w:w w:val="89"/>
              </w:rPr>
              <w:t>Cost</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6"/>
                <w:szCs w:val="16"/>
                <w:b w:val="1"/>
                <w:bCs w:val="1"/>
                <w:color w:val="auto"/>
                <w:vertAlign w:val="superscript"/>
              </w:rPr>
              <w:t>(1)</w:t>
            </w:r>
          </w:p>
        </w:tc>
        <w:tc>
          <w:tcPr>
            <w:tcW w:w="200" w:type="dxa"/>
            <w:vAlign w:val="bottom"/>
          </w:tcPr>
          <w:p>
            <w:pPr>
              <w:spacing w:after="0"/>
              <w:rPr>
                <w:sz w:val="23"/>
                <w:szCs w:val="23"/>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capital</w:t>
            </w:r>
          </w:p>
        </w:tc>
        <w:tc>
          <w:tcPr>
            <w:tcW w:w="0" w:type="dxa"/>
            <w:vAlign w:val="bottom"/>
          </w:tcPr>
          <w:p>
            <w:pPr>
              <w:spacing w:after="0"/>
              <w:rPr>
                <w:sz w:val="1"/>
                <w:szCs w:val="1"/>
                <w:color w:val="auto"/>
              </w:rPr>
            </w:pPr>
          </w:p>
        </w:tc>
      </w:tr>
      <w:tr>
        <w:trPr>
          <w:trHeight w:val="317"/>
        </w:trPr>
        <w:tc>
          <w:tcPr>
            <w:tcW w:w="840" w:type="dxa"/>
            <w:vAlign w:val="bottom"/>
          </w:tcPr>
          <w:p>
            <w:pPr>
              <w:jc w:val="right"/>
              <w:spacing w:after="0"/>
              <w:rPr>
                <w:sz w:val="20"/>
                <w:szCs w:val="20"/>
                <w:color w:val="auto"/>
              </w:rPr>
            </w:pPr>
            <w:r>
              <w:rPr>
                <w:rFonts w:ascii="Arial" w:cs="Arial" w:eastAsia="Arial" w:hAnsi="Arial"/>
                <w:sz w:val="13"/>
                <w:szCs w:val="13"/>
                <w:color w:val="auto"/>
              </w:rPr>
              <w:t>462,000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0.0 %</w:t>
            </w:r>
          </w:p>
        </w:tc>
        <w:tc>
          <w:tcPr>
            <w:tcW w:w="0" w:type="dxa"/>
            <w:vAlign w:val="bottom"/>
          </w:tcPr>
          <w:p>
            <w:pPr>
              <w:spacing w:after="0"/>
              <w:rPr>
                <w:sz w:val="1"/>
                <w:szCs w:val="1"/>
                <w:color w:val="auto"/>
              </w:rPr>
            </w:pPr>
          </w:p>
        </w:tc>
      </w:tr>
      <w:tr>
        <w:trPr>
          <w:trHeight w:val="459"/>
        </w:trPr>
        <w:tc>
          <w:tcPr>
            <w:tcW w:w="840" w:type="dxa"/>
            <w:vAlign w:val="bottom"/>
          </w:tcPr>
          <w:p>
            <w:pPr>
              <w:jc w:val="right"/>
              <w:spacing w:after="0"/>
              <w:rPr>
                <w:sz w:val="20"/>
                <w:szCs w:val="20"/>
                <w:color w:val="auto"/>
              </w:rPr>
            </w:pPr>
            <w:r>
              <w:rPr>
                <w:rFonts w:ascii="Arial" w:cs="Arial" w:eastAsia="Arial" w:hAnsi="Arial"/>
                <w:sz w:val="13"/>
                <w:szCs w:val="13"/>
                <w:color w:val="auto"/>
              </w:rPr>
              <w:t>3,600,000</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1,497,745</w:t>
            </w:r>
          </w:p>
        </w:tc>
        <w:tc>
          <w:tcPr>
            <w:tcW w:w="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1.3 %</w:t>
            </w:r>
          </w:p>
        </w:tc>
        <w:tc>
          <w:tcPr>
            <w:tcW w:w="0" w:type="dxa"/>
            <w:vAlign w:val="bottom"/>
          </w:tcPr>
          <w:p>
            <w:pPr>
              <w:spacing w:after="0"/>
              <w:rPr>
                <w:sz w:val="1"/>
                <w:szCs w:val="1"/>
                <w:color w:val="auto"/>
              </w:rPr>
            </w:pPr>
          </w:p>
        </w:tc>
      </w:tr>
      <w:tr>
        <w:trPr>
          <w:trHeight w:val="459"/>
        </w:trPr>
        <w:tc>
          <w:tcPr>
            <w:tcW w:w="840" w:type="dxa"/>
            <w:vAlign w:val="bottom"/>
          </w:tcPr>
          <w:p>
            <w:pPr>
              <w:jc w:val="right"/>
              <w:spacing w:after="0"/>
              <w:rPr>
                <w:sz w:val="20"/>
                <w:szCs w:val="20"/>
                <w:color w:val="auto"/>
              </w:rPr>
            </w:pPr>
            <w:r>
              <w:rPr>
                <w:rFonts w:ascii="Arial" w:cs="Arial" w:eastAsia="Arial" w:hAnsi="Arial"/>
                <w:sz w:val="13"/>
                <w:szCs w:val="13"/>
                <w:color w:val="auto"/>
              </w:rPr>
              <w:t>3,920,000</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3,920,000</w:t>
            </w:r>
          </w:p>
        </w:tc>
        <w:tc>
          <w:tcPr>
            <w:tcW w:w="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3.3 %</w:t>
            </w:r>
          </w:p>
        </w:tc>
        <w:tc>
          <w:tcPr>
            <w:tcW w:w="0" w:type="dxa"/>
            <w:vAlign w:val="bottom"/>
          </w:tcPr>
          <w:p>
            <w:pPr>
              <w:spacing w:after="0"/>
              <w:rPr>
                <w:sz w:val="1"/>
                <w:szCs w:val="1"/>
                <w:color w:val="auto"/>
              </w:rPr>
            </w:pPr>
          </w:p>
        </w:tc>
      </w:tr>
      <w:tr>
        <w:trPr>
          <w:trHeight w:val="459"/>
        </w:trPr>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0.0 %</w:t>
            </w:r>
          </w:p>
        </w:tc>
        <w:tc>
          <w:tcPr>
            <w:tcW w:w="0" w:type="dxa"/>
            <w:vAlign w:val="bottom"/>
          </w:tcPr>
          <w:p>
            <w:pPr>
              <w:spacing w:after="0"/>
              <w:rPr>
                <w:sz w:val="1"/>
                <w:szCs w:val="1"/>
                <w:color w:val="auto"/>
              </w:rPr>
            </w:pPr>
          </w:p>
        </w:tc>
      </w:tr>
      <w:tr>
        <w:trPr>
          <w:trHeight w:val="459"/>
        </w:trPr>
        <w:tc>
          <w:tcPr>
            <w:tcW w:w="840" w:type="dxa"/>
            <w:vAlign w:val="bottom"/>
          </w:tcPr>
          <w:p>
            <w:pPr>
              <w:jc w:val="right"/>
              <w:spacing w:after="0"/>
              <w:rPr>
                <w:sz w:val="20"/>
                <w:szCs w:val="20"/>
                <w:color w:val="auto"/>
              </w:rPr>
            </w:pPr>
            <w:r>
              <w:rPr>
                <w:rFonts w:ascii="Arial" w:cs="Arial" w:eastAsia="Arial" w:hAnsi="Arial"/>
                <w:sz w:val="13"/>
                <w:szCs w:val="13"/>
                <w:color w:val="auto"/>
              </w:rPr>
              <w:t>1,506,986</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1,506,986</w:t>
            </w:r>
          </w:p>
        </w:tc>
        <w:tc>
          <w:tcPr>
            <w:tcW w:w="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1.3 %</w:t>
            </w:r>
          </w:p>
        </w:tc>
        <w:tc>
          <w:tcPr>
            <w:tcW w:w="0" w:type="dxa"/>
            <w:vAlign w:val="bottom"/>
          </w:tcPr>
          <w:p>
            <w:pPr>
              <w:spacing w:after="0"/>
              <w:rPr>
                <w:sz w:val="1"/>
                <w:szCs w:val="1"/>
                <w:color w:val="auto"/>
              </w:rPr>
            </w:pPr>
          </w:p>
        </w:tc>
      </w:tr>
      <w:tr>
        <w:trPr>
          <w:trHeight w:val="122"/>
        </w:trPr>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198,473,818</w:t>
            </w:r>
          </w:p>
        </w:tc>
        <w:tc>
          <w:tcPr>
            <w:tcW w:w="220" w:type="dxa"/>
            <w:vAlign w:val="bottom"/>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98,472,652</w:t>
            </w:r>
          </w:p>
        </w:tc>
        <w:tc>
          <w:tcPr>
            <w:tcW w:w="20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82.9 %</w:t>
            </w:r>
          </w:p>
        </w:tc>
        <w:tc>
          <w:tcPr>
            <w:tcW w:w="0" w:type="dxa"/>
            <w:vAlign w:val="bottom"/>
          </w:tcPr>
          <w:p>
            <w:pPr>
              <w:spacing w:after="0"/>
              <w:rPr>
                <w:sz w:val="1"/>
                <w:szCs w:val="1"/>
                <w:color w:val="auto"/>
              </w:rPr>
            </w:pPr>
          </w:p>
        </w:tc>
      </w:tr>
      <w:tr>
        <w:trPr>
          <w:trHeight w:val="494"/>
        </w:trPr>
        <w:tc>
          <w:tcPr>
            <w:tcW w:w="840" w:type="dxa"/>
            <w:vAlign w:val="bottom"/>
          </w:tcPr>
          <w:p>
            <w:pPr>
              <w:jc w:val="right"/>
              <w:spacing w:after="0"/>
              <w:rPr>
                <w:sz w:val="20"/>
                <w:szCs w:val="20"/>
                <w:color w:val="auto"/>
              </w:rPr>
            </w:pPr>
            <w:r>
              <w:rPr>
                <w:rFonts w:ascii="Arial" w:cs="Arial" w:eastAsia="Arial" w:hAnsi="Arial"/>
                <w:sz w:val="13"/>
                <w:szCs w:val="13"/>
                <w:color w:val="auto"/>
              </w:rPr>
              <w:t>4,641,158</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2,408,959</w:t>
            </w:r>
          </w:p>
        </w:tc>
        <w:tc>
          <w:tcPr>
            <w:tcW w:w="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2.0 %</w:t>
            </w:r>
          </w:p>
        </w:tc>
        <w:tc>
          <w:tcPr>
            <w:tcW w:w="0" w:type="dxa"/>
            <w:vAlign w:val="bottom"/>
          </w:tcPr>
          <w:p>
            <w:pPr>
              <w:spacing w:after="0"/>
              <w:rPr>
                <w:sz w:val="1"/>
                <w:szCs w:val="1"/>
                <w:color w:val="auto"/>
              </w:rPr>
            </w:pPr>
          </w:p>
        </w:tc>
      </w:tr>
      <w:tr>
        <w:trPr>
          <w:trHeight w:val="176"/>
        </w:trPr>
        <w:tc>
          <w:tcPr>
            <w:tcW w:w="840" w:type="dxa"/>
            <w:vAlign w:val="bottom"/>
          </w:tcPr>
          <w:p>
            <w:pPr>
              <w:jc w:val="right"/>
              <w:spacing w:after="0"/>
              <w:rPr>
                <w:sz w:val="20"/>
                <w:szCs w:val="20"/>
                <w:color w:val="auto"/>
              </w:rPr>
            </w:pPr>
            <w:r>
              <w:rPr>
                <w:rFonts w:ascii="Arial" w:cs="Arial" w:eastAsia="Arial" w:hAnsi="Arial"/>
                <w:sz w:val="13"/>
                <w:szCs w:val="13"/>
                <w:color w:val="auto"/>
              </w:rPr>
              <w:t>2,000,000</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1,653,063</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1.4 %</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12,537</w:t>
            </w:r>
          </w:p>
        </w:tc>
        <w:tc>
          <w:tcPr>
            <w:tcW w:w="200" w:type="dxa"/>
            <w:vAlign w:val="bottom"/>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0.0 %</w:t>
            </w:r>
          </w:p>
        </w:tc>
        <w:tc>
          <w:tcPr>
            <w:tcW w:w="0" w:type="dxa"/>
            <w:vAlign w:val="bottom"/>
          </w:tcPr>
          <w:p>
            <w:pPr>
              <w:spacing w:after="0"/>
              <w:rPr>
                <w:sz w:val="1"/>
                <w:szCs w:val="1"/>
                <w:color w:val="auto"/>
              </w:rPr>
            </w:pPr>
          </w:p>
        </w:tc>
      </w:tr>
      <w:tr>
        <w:trPr>
          <w:trHeight w:val="169"/>
        </w:trPr>
        <w:tc>
          <w:tcPr>
            <w:tcW w:w="840" w:type="dxa"/>
            <w:vAlign w:val="bottom"/>
          </w:tcPr>
          <w:p>
            <w:pPr>
              <w:jc w:val="right"/>
              <w:spacing w:after="0"/>
              <w:rPr>
                <w:sz w:val="20"/>
                <w:szCs w:val="20"/>
                <w:color w:val="auto"/>
              </w:rPr>
            </w:pPr>
            <w:r>
              <w:rPr>
                <w:rFonts w:ascii="Arial" w:cs="Arial" w:eastAsia="Arial" w:hAnsi="Arial"/>
                <w:sz w:val="13"/>
                <w:szCs w:val="13"/>
                <w:color w:val="auto"/>
              </w:rPr>
              <w:t>6,641,158</w:t>
            </w:r>
          </w:p>
        </w:tc>
        <w:tc>
          <w:tcPr>
            <w:tcW w:w="22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4,074,559</w:t>
            </w:r>
          </w:p>
        </w:tc>
        <w:tc>
          <w:tcPr>
            <w:tcW w:w="20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3.4 %</w:t>
            </w:r>
          </w:p>
        </w:tc>
        <w:tc>
          <w:tcPr>
            <w:tcW w:w="0" w:type="dxa"/>
            <w:vAlign w:val="bottom"/>
          </w:tcPr>
          <w:p>
            <w:pPr>
              <w:spacing w:after="0"/>
              <w:rPr>
                <w:sz w:val="1"/>
                <w:szCs w:val="1"/>
                <w:color w:val="auto"/>
              </w:rPr>
            </w:pPr>
          </w:p>
        </w:tc>
      </w:tr>
      <w:tr>
        <w:trPr>
          <w:trHeight w:val="189"/>
        </w:trPr>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6,641,158</w:t>
            </w:r>
          </w:p>
        </w:tc>
        <w:tc>
          <w:tcPr>
            <w:tcW w:w="2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4,074,559</w:t>
            </w:r>
          </w:p>
        </w:tc>
        <w:tc>
          <w:tcPr>
            <w:tcW w:w="20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3.4 %</w:t>
            </w:r>
          </w:p>
        </w:tc>
        <w:tc>
          <w:tcPr>
            <w:tcW w:w="0" w:type="dxa"/>
            <w:vAlign w:val="bottom"/>
          </w:tcPr>
          <w:p>
            <w:pPr>
              <w:spacing w:after="0"/>
              <w:rPr>
                <w:sz w:val="1"/>
                <w:szCs w:val="1"/>
                <w:color w:val="auto"/>
              </w:rPr>
            </w:pPr>
          </w:p>
        </w:tc>
      </w:tr>
      <w:tr>
        <w:trPr>
          <w:trHeight w:val="494"/>
        </w:trPr>
        <w:tc>
          <w:tcPr>
            <w:tcW w:w="840" w:type="dxa"/>
            <w:vAlign w:val="bottom"/>
          </w:tcPr>
          <w:p>
            <w:pPr>
              <w:jc w:val="right"/>
              <w:spacing w:after="0"/>
              <w:rPr>
                <w:sz w:val="20"/>
                <w:szCs w:val="20"/>
                <w:color w:val="auto"/>
              </w:rPr>
            </w:pPr>
            <w:r>
              <w:rPr>
                <w:rFonts w:ascii="Arial" w:cs="Arial" w:eastAsia="Arial" w:hAnsi="Arial"/>
                <w:sz w:val="13"/>
                <w:szCs w:val="13"/>
                <w:color w:val="auto"/>
              </w:rPr>
              <w:t>3,010,915</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5,852,728</w:t>
            </w:r>
          </w:p>
        </w:tc>
        <w:tc>
          <w:tcPr>
            <w:tcW w:w="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4.9 %</w:t>
            </w:r>
          </w:p>
        </w:tc>
        <w:tc>
          <w:tcPr>
            <w:tcW w:w="0" w:type="dxa"/>
            <w:vAlign w:val="bottom"/>
          </w:tcPr>
          <w:p>
            <w:pPr>
              <w:spacing w:after="0"/>
              <w:rPr>
                <w:sz w:val="1"/>
                <w:szCs w:val="1"/>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3"/>
                <w:szCs w:val="13"/>
                <w:color w:val="auto"/>
              </w:rPr>
              <w:t>526,173</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1,047,291</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0.9 %</w:t>
            </w:r>
          </w:p>
        </w:tc>
        <w:tc>
          <w:tcPr>
            <w:tcW w:w="0" w:type="dxa"/>
            <w:vAlign w:val="bottom"/>
          </w:tcPr>
          <w:p>
            <w:pPr>
              <w:spacing w:after="0"/>
              <w:rPr>
                <w:sz w:val="1"/>
                <w:szCs w:val="1"/>
                <w:color w:val="auto"/>
              </w:rPr>
            </w:pPr>
          </w:p>
        </w:tc>
      </w:tr>
      <w:tr>
        <w:trPr>
          <w:trHeight w:val="183"/>
        </w:trPr>
        <w:tc>
          <w:tcPr>
            <w:tcW w:w="840" w:type="dxa"/>
            <w:vAlign w:val="bottom"/>
          </w:tcPr>
          <w:p>
            <w:pPr>
              <w:jc w:val="right"/>
              <w:spacing w:after="0"/>
              <w:rPr>
                <w:sz w:val="20"/>
                <w:szCs w:val="20"/>
                <w:color w:val="auto"/>
              </w:rPr>
            </w:pPr>
            <w:r>
              <w:rPr>
                <w:rFonts w:ascii="Arial" w:cs="Arial" w:eastAsia="Arial" w:hAnsi="Arial"/>
                <w:sz w:val="13"/>
                <w:szCs w:val="13"/>
                <w:color w:val="auto"/>
              </w:rPr>
              <w:t>504,418</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529,197</w:t>
            </w:r>
          </w:p>
        </w:tc>
        <w:tc>
          <w:tcPr>
            <w:tcW w:w="200" w:type="dxa"/>
            <w:vAlign w:val="bottom"/>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0.4 %</w:t>
            </w:r>
          </w:p>
        </w:tc>
        <w:tc>
          <w:tcPr>
            <w:tcW w:w="0" w:type="dxa"/>
            <w:vAlign w:val="bottom"/>
          </w:tcPr>
          <w:p>
            <w:pPr>
              <w:spacing w:after="0"/>
              <w:rPr>
                <w:sz w:val="1"/>
                <w:szCs w:val="1"/>
                <w:color w:val="auto"/>
              </w:rPr>
            </w:pPr>
          </w:p>
        </w:tc>
      </w:tr>
      <w:tr>
        <w:trPr>
          <w:trHeight w:val="169"/>
        </w:trPr>
        <w:tc>
          <w:tcPr>
            <w:tcW w:w="840" w:type="dxa"/>
            <w:vAlign w:val="bottom"/>
          </w:tcPr>
          <w:p>
            <w:pPr>
              <w:jc w:val="right"/>
              <w:spacing w:after="0"/>
              <w:rPr>
                <w:sz w:val="20"/>
                <w:szCs w:val="20"/>
                <w:color w:val="auto"/>
              </w:rPr>
            </w:pPr>
            <w:r>
              <w:rPr>
                <w:rFonts w:ascii="Arial" w:cs="Arial" w:eastAsia="Arial" w:hAnsi="Arial"/>
                <w:sz w:val="13"/>
                <w:szCs w:val="13"/>
                <w:color w:val="auto"/>
              </w:rPr>
              <w:t>4,041,506</w:t>
            </w:r>
          </w:p>
        </w:tc>
        <w:tc>
          <w:tcPr>
            <w:tcW w:w="22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7,429,216</w:t>
            </w:r>
          </w:p>
        </w:tc>
        <w:tc>
          <w:tcPr>
            <w:tcW w:w="20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6.2 %</w:t>
            </w:r>
          </w:p>
        </w:tc>
        <w:tc>
          <w:tcPr>
            <w:tcW w:w="0" w:type="dxa"/>
            <w:vAlign w:val="bottom"/>
          </w:tcPr>
          <w:p>
            <w:pPr>
              <w:spacing w:after="0"/>
              <w:rPr>
                <w:sz w:val="1"/>
                <w:szCs w:val="1"/>
                <w:color w:val="auto"/>
              </w:rPr>
            </w:pPr>
          </w:p>
        </w:tc>
      </w:tr>
      <w:tr>
        <w:trPr>
          <w:trHeight w:val="189"/>
        </w:trPr>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4,041,506</w:t>
            </w:r>
          </w:p>
        </w:tc>
        <w:tc>
          <w:tcPr>
            <w:tcW w:w="2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7,429,216</w:t>
            </w:r>
          </w:p>
        </w:tc>
        <w:tc>
          <w:tcPr>
            <w:tcW w:w="20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6.2 %</w:t>
            </w:r>
          </w:p>
        </w:tc>
        <w:tc>
          <w:tcPr>
            <w:tcW w:w="0" w:type="dxa"/>
            <w:vAlign w:val="bottom"/>
          </w:tcPr>
          <w:p>
            <w:pPr>
              <w:spacing w:after="0"/>
              <w:rPr>
                <w:sz w:val="1"/>
                <w:szCs w:val="1"/>
                <w:color w:val="auto"/>
              </w:rPr>
            </w:pPr>
          </w:p>
        </w:tc>
      </w:tr>
      <w:tr>
        <w:trPr>
          <w:trHeight w:val="494"/>
        </w:trPr>
        <w:tc>
          <w:tcPr>
            <w:tcW w:w="840" w:type="dxa"/>
            <w:vAlign w:val="bottom"/>
          </w:tcPr>
          <w:p>
            <w:pPr>
              <w:jc w:val="right"/>
              <w:spacing w:after="0"/>
              <w:rPr>
                <w:sz w:val="20"/>
                <w:szCs w:val="20"/>
                <w:color w:val="auto"/>
              </w:rPr>
            </w:pPr>
            <w:r>
              <w:rPr>
                <w:rFonts w:ascii="Arial" w:cs="Arial" w:eastAsia="Arial" w:hAnsi="Arial"/>
                <w:sz w:val="13"/>
                <w:szCs w:val="13"/>
                <w:color w:val="auto"/>
              </w:rPr>
              <w:t>2,000,000</w:t>
            </w:r>
          </w:p>
        </w:tc>
        <w:tc>
          <w:tcPr>
            <w:tcW w:w="220" w:type="dxa"/>
            <w:vAlign w:val="bottom"/>
          </w:tcPr>
          <w:p>
            <w:pPr>
              <w:spacing w:after="0"/>
              <w:rPr>
                <w:sz w:val="24"/>
                <w:szCs w:val="24"/>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0.0 %</w:t>
            </w:r>
          </w:p>
        </w:tc>
        <w:tc>
          <w:tcPr>
            <w:tcW w:w="0" w:type="dxa"/>
            <w:vAlign w:val="bottom"/>
          </w:tcPr>
          <w:p>
            <w:pPr>
              <w:spacing w:after="0"/>
              <w:rPr>
                <w:sz w:val="1"/>
                <w:szCs w:val="1"/>
                <w:color w:val="auto"/>
              </w:rPr>
            </w:pPr>
          </w:p>
        </w:tc>
      </w:tr>
      <w:tr>
        <w:trPr>
          <w:trHeight w:val="216"/>
        </w:trPr>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2,000,000</w:t>
            </w:r>
          </w:p>
        </w:tc>
        <w:tc>
          <w:tcPr>
            <w:tcW w:w="22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4"/>
                <w:szCs w:val="14"/>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0.0 %</w:t>
            </w:r>
          </w:p>
        </w:tc>
        <w:tc>
          <w:tcPr>
            <w:tcW w:w="0" w:type="dxa"/>
            <w:vAlign w:val="bottom"/>
          </w:tcPr>
          <w:p>
            <w:pPr>
              <w:spacing w:after="0"/>
              <w:rPr>
                <w:sz w:val="1"/>
                <w:szCs w:val="1"/>
                <w:color w:val="auto"/>
              </w:rPr>
            </w:pPr>
          </w:p>
        </w:tc>
      </w:tr>
      <w:tr>
        <w:trPr>
          <w:trHeight w:val="186"/>
        </w:trPr>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211,156,482</w:t>
            </w:r>
          </w:p>
        </w:tc>
        <w:tc>
          <w:tcPr>
            <w:tcW w:w="2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40" w:type="dxa"/>
            <w:vAlign w:val="bottom"/>
            <w:vMerge w:val="continue"/>
          </w:tcPr>
          <w:p>
            <w:pPr>
              <w:spacing w:after="0"/>
              <w:rPr>
                <w:sz w:val="14"/>
                <w:szCs w:val="14"/>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109,976,427</w:t>
            </w:r>
          </w:p>
        </w:tc>
        <w:tc>
          <w:tcPr>
            <w:tcW w:w="20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92.5 %</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-33655</wp:posOffset>
            </wp:positionV>
            <wp:extent cx="8826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88265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-7620</wp:posOffset>
            </wp:positionV>
            <wp:extent cx="8826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-153670</wp:posOffset>
            </wp:positionV>
            <wp:extent cx="8826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-281940</wp:posOffset>
            </wp:positionV>
            <wp:extent cx="8826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-402590</wp:posOffset>
            </wp:positionV>
            <wp:extent cx="8826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88265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-864870</wp:posOffset>
            </wp:positionV>
            <wp:extent cx="8826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-985520</wp:posOffset>
            </wp:positionV>
            <wp:extent cx="8826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88265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-1113790</wp:posOffset>
            </wp:positionV>
            <wp:extent cx="8826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88265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-1233805</wp:posOffset>
            </wp:positionV>
            <wp:extent cx="8826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-1790700</wp:posOffset>
            </wp:positionV>
            <wp:extent cx="8826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-1910715</wp:posOffset>
            </wp:positionV>
            <wp:extent cx="8826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-2039620</wp:posOffset>
            </wp:positionV>
            <wp:extent cx="8826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-2159635</wp:posOffset>
            </wp:positionV>
            <wp:extent cx="8826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-2716530</wp:posOffset>
            </wp:positionV>
            <wp:extent cx="8826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-2836545</wp:posOffset>
            </wp:positionV>
            <wp:extent cx="8826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-4293870</wp:posOffset>
            </wp:positionV>
            <wp:extent cx="8826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ectPr>
          <w:pgSz w:w="11900" w:h="16838" w:orient="portrait"/>
          <w:cols w:equalWidth="0" w:num="2">
            <w:col w:w="6360" w:space="360"/>
            <w:col w:w="4140"/>
          </w:cols>
          <w:pgMar w:left="520" w:top="1201" w:right="51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29"/>
        </w:trPr>
        <w:tc>
          <w:tcPr>
            <w:tcW w:w="8040" w:type="dxa"/>
            <w:vAlign w:val="bottom"/>
          </w:tcPr>
          <w:p>
            <w:pPr>
              <w:jc w:val="center"/>
              <w:ind w:left="3010"/>
              <w:spacing w:after="0"/>
              <w:rPr>
                <w:sz w:val="20"/>
                <w:szCs w:val="20"/>
                <w:color w:val="auto"/>
              </w:rPr>
            </w:pPr>
            <w:r>
              <w:rPr>
                <w:rFonts w:ascii="Arial" w:cs="Arial" w:eastAsia="Arial" w:hAnsi="Arial"/>
                <w:sz w:val="18"/>
                <w:szCs w:val="18"/>
                <w:b w:val="1"/>
                <w:bCs w:val="1"/>
                <w:color w:val="auto"/>
                <w:w w:val="98"/>
              </w:rPr>
              <w:t>MEDICI VENTURES, L.P.</w:t>
            </w:r>
          </w:p>
        </w:tc>
        <w:tc>
          <w:tcPr>
            <w:tcW w:w="13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8040" w:type="dxa"/>
            <w:vAlign w:val="bottom"/>
          </w:tcPr>
          <w:p>
            <w:pPr>
              <w:jc w:val="center"/>
              <w:ind w:left="2990"/>
              <w:spacing w:after="0"/>
              <w:rPr>
                <w:sz w:val="20"/>
                <w:szCs w:val="20"/>
                <w:color w:val="auto"/>
              </w:rPr>
            </w:pPr>
            <w:r>
              <w:rPr>
                <w:rFonts w:ascii="Arial" w:cs="Arial" w:eastAsia="Arial" w:hAnsi="Arial"/>
                <w:sz w:val="18"/>
                <w:szCs w:val="18"/>
                <w:color w:val="auto"/>
                <w:w w:val="99"/>
              </w:rPr>
              <w:t>(A Delaware Limited Partnership)</w:t>
            </w:r>
          </w:p>
        </w:tc>
        <w:tc>
          <w:tcPr>
            <w:tcW w:w="13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8040" w:type="dxa"/>
            <w:vAlign w:val="bottom"/>
          </w:tcPr>
          <w:p>
            <w:pPr>
              <w:jc w:val="center"/>
              <w:ind w:left="2990"/>
              <w:spacing w:after="0"/>
              <w:rPr>
                <w:sz w:val="20"/>
                <w:szCs w:val="20"/>
                <w:color w:val="auto"/>
              </w:rPr>
            </w:pPr>
            <w:r>
              <w:rPr>
                <w:rFonts w:ascii="Arial" w:cs="Arial" w:eastAsia="Arial" w:hAnsi="Arial"/>
                <w:sz w:val="18"/>
                <w:szCs w:val="18"/>
                <w:color w:val="auto"/>
              </w:rPr>
              <w:t>Statement of Operations</w:t>
            </w:r>
          </w:p>
        </w:tc>
        <w:tc>
          <w:tcPr>
            <w:tcW w:w="13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8040" w:type="dxa"/>
            <w:vAlign w:val="bottom"/>
          </w:tcPr>
          <w:p>
            <w:pPr>
              <w:jc w:val="center"/>
              <w:ind w:left="2990"/>
              <w:spacing w:after="0"/>
              <w:rPr>
                <w:sz w:val="20"/>
                <w:szCs w:val="20"/>
                <w:color w:val="auto"/>
              </w:rPr>
            </w:pPr>
            <w:r>
              <w:rPr>
                <w:rFonts w:ascii="Arial" w:cs="Arial" w:eastAsia="Arial" w:hAnsi="Arial"/>
                <w:sz w:val="18"/>
                <w:szCs w:val="18"/>
                <w:color w:val="auto"/>
                <w:w w:val="99"/>
              </w:rPr>
              <w:t>Year ended September 30, 2023</w:t>
            </w:r>
          </w:p>
        </w:tc>
        <w:tc>
          <w:tcPr>
            <w:tcW w:w="13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8040" w:type="dxa"/>
            <w:vAlign w:val="bottom"/>
          </w:tcPr>
          <w:p>
            <w:pPr>
              <w:spacing w:after="0"/>
              <w:rPr>
                <w:sz w:val="20"/>
                <w:szCs w:val="20"/>
                <w:color w:val="auto"/>
              </w:rPr>
            </w:pPr>
            <w:r>
              <w:rPr>
                <w:rFonts w:ascii="Arial" w:cs="Arial" w:eastAsia="Arial" w:hAnsi="Arial"/>
                <w:sz w:val="18"/>
                <w:szCs w:val="18"/>
                <w:b w:val="1"/>
                <w:bCs w:val="1"/>
                <w:color w:val="auto"/>
              </w:rPr>
              <w:t>Investment income:</w:t>
            </w:r>
          </w:p>
        </w:tc>
        <w:tc>
          <w:tcPr>
            <w:tcW w:w="13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5"/>
        </w:trPr>
        <w:tc>
          <w:tcPr>
            <w:tcW w:w="80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1,409,345</w:t>
            </w:r>
          </w:p>
        </w:tc>
      </w:tr>
      <w:tr>
        <w:trPr>
          <w:trHeight w:val="218"/>
        </w:trPr>
        <w:tc>
          <w:tcPr>
            <w:tcW w:w="8040" w:type="dxa"/>
            <w:vAlign w:val="bottom"/>
          </w:tcPr>
          <w:p>
            <w:pPr>
              <w:ind w:left="1080"/>
              <w:spacing w:after="0"/>
              <w:rPr>
                <w:sz w:val="20"/>
                <w:szCs w:val="20"/>
                <w:color w:val="auto"/>
              </w:rPr>
            </w:pPr>
            <w:r>
              <w:rPr>
                <w:rFonts w:ascii="Arial" w:cs="Arial" w:eastAsia="Arial" w:hAnsi="Arial"/>
                <w:sz w:val="18"/>
                <w:szCs w:val="18"/>
                <w:b w:val="1"/>
                <w:bCs w:val="1"/>
                <w:color w:val="auto"/>
              </w:rPr>
              <w:t>Total income</w:t>
            </w:r>
          </w:p>
        </w:tc>
        <w:tc>
          <w:tcPr>
            <w:tcW w:w="1340" w:type="dxa"/>
            <w:vAlign w:val="bottom"/>
          </w:tcPr>
          <w:p>
            <w:pPr>
              <w:spacing w:after="0"/>
              <w:rPr>
                <w:sz w:val="18"/>
                <w:szCs w:val="18"/>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1,409,345</w:t>
            </w:r>
          </w:p>
        </w:tc>
      </w:tr>
      <w:tr>
        <w:trPr>
          <w:trHeight w:val="230"/>
        </w:trPr>
        <w:tc>
          <w:tcPr>
            <w:tcW w:w="80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3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8"/>
                <w:szCs w:val="18"/>
                <w:color w:val="auto"/>
              </w:rPr>
              <w:t>Management fees (Note 5)</w:t>
            </w:r>
          </w:p>
        </w:tc>
        <w:tc>
          <w:tcPr>
            <w:tcW w:w="1340" w:type="dxa"/>
            <w:vAlign w:val="bottom"/>
          </w:tcPr>
          <w:p>
            <w:pPr>
              <w:spacing w:after="0"/>
              <w:rPr>
                <w:sz w:val="19"/>
                <w:szCs w:val="19"/>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2,500,000</w:t>
            </w:r>
          </w:p>
        </w:tc>
      </w:tr>
      <w:tr>
        <w:trPr>
          <w:trHeight w:val="229"/>
        </w:trPr>
        <w:tc>
          <w:tcPr>
            <w:tcW w:w="8040" w:type="dxa"/>
            <w:vAlign w:val="bottom"/>
          </w:tcPr>
          <w:p>
            <w:pPr>
              <w:ind w:left="220"/>
              <w:spacing w:after="0"/>
              <w:rPr>
                <w:sz w:val="20"/>
                <w:szCs w:val="20"/>
                <w:color w:val="auto"/>
              </w:rPr>
            </w:pPr>
            <w:r>
              <w:rPr>
                <w:rFonts w:ascii="Arial" w:cs="Arial" w:eastAsia="Arial" w:hAnsi="Arial"/>
                <w:sz w:val="18"/>
                <w:szCs w:val="18"/>
                <w:color w:val="auto"/>
              </w:rPr>
              <w:t>Performance fee - unrealized (Note 8)</w:t>
            </w:r>
          </w:p>
        </w:tc>
        <w:tc>
          <w:tcPr>
            <w:tcW w:w="1340" w:type="dxa"/>
            <w:vAlign w:val="bottom"/>
          </w:tcPr>
          <w:p>
            <w:pPr>
              <w:spacing w:after="0"/>
              <w:rPr>
                <w:sz w:val="19"/>
                <w:szCs w:val="19"/>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4,543,253</w:t>
            </w:r>
          </w:p>
        </w:tc>
      </w:tr>
      <w:tr>
        <w:trPr>
          <w:trHeight w:val="230"/>
        </w:trPr>
        <w:tc>
          <w:tcPr>
            <w:tcW w:w="8040" w:type="dxa"/>
            <w:vAlign w:val="bottom"/>
          </w:tcPr>
          <w:p>
            <w:pPr>
              <w:ind w:left="220"/>
              <w:spacing w:after="0"/>
              <w:rPr>
                <w:sz w:val="20"/>
                <w:szCs w:val="20"/>
                <w:color w:val="auto"/>
              </w:rPr>
            </w:pPr>
            <w:r>
              <w:rPr>
                <w:rFonts w:ascii="Arial" w:cs="Arial" w:eastAsia="Arial" w:hAnsi="Arial"/>
                <w:sz w:val="18"/>
                <w:szCs w:val="18"/>
                <w:color w:val="auto"/>
              </w:rPr>
              <w:t>Professional fees</w:t>
            </w:r>
          </w:p>
        </w:tc>
        <w:tc>
          <w:tcPr>
            <w:tcW w:w="1340" w:type="dxa"/>
            <w:vAlign w:val="bottom"/>
          </w:tcPr>
          <w:p>
            <w:pPr>
              <w:spacing w:after="0"/>
              <w:rPr>
                <w:sz w:val="19"/>
                <w:szCs w:val="19"/>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416,192</w:t>
            </w:r>
          </w:p>
        </w:tc>
      </w:tr>
      <w:tr>
        <w:trPr>
          <w:trHeight w:val="235"/>
        </w:trPr>
        <w:tc>
          <w:tcPr>
            <w:tcW w:w="8040" w:type="dxa"/>
            <w:vAlign w:val="bottom"/>
          </w:tcPr>
          <w:p>
            <w:pPr>
              <w:ind w:left="220"/>
              <w:spacing w:after="0"/>
              <w:rPr>
                <w:sz w:val="20"/>
                <w:szCs w:val="20"/>
                <w:color w:val="auto"/>
              </w:rPr>
            </w:pPr>
            <w:r>
              <w:rPr>
                <w:rFonts w:ascii="Arial" w:cs="Arial" w:eastAsia="Arial" w:hAnsi="Arial"/>
                <w:sz w:val="18"/>
                <w:szCs w:val="18"/>
                <w:color w:val="auto"/>
              </w:rPr>
              <w:t>Other general and administrative expenses</w:t>
            </w:r>
          </w:p>
        </w:tc>
        <w:tc>
          <w:tcPr>
            <w:tcW w:w="1340" w:type="dxa"/>
            <w:vAlign w:val="bottom"/>
          </w:tcPr>
          <w:p>
            <w:pPr>
              <w:spacing w:after="0"/>
              <w:rPr>
                <w:sz w:val="20"/>
                <w:szCs w:val="20"/>
                <w:color w:val="auto"/>
              </w:rPr>
            </w:pP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82,343</w:t>
            </w:r>
          </w:p>
        </w:tc>
      </w:tr>
      <w:tr>
        <w:trPr>
          <w:trHeight w:val="223"/>
        </w:trPr>
        <w:tc>
          <w:tcPr>
            <w:tcW w:w="8040" w:type="dxa"/>
            <w:vAlign w:val="bottom"/>
          </w:tcPr>
          <w:p>
            <w:pPr>
              <w:ind w:left="1080"/>
              <w:spacing w:after="0"/>
              <w:rPr>
                <w:sz w:val="20"/>
                <w:szCs w:val="20"/>
                <w:color w:val="auto"/>
              </w:rPr>
            </w:pPr>
            <w:r>
              <w:rPr>
                <w:rFonts w:ascii="Arial" w:cs="Arial" w:eastAsia="Arial" w:hAnsi="Arial"/>
                <w:sz w:val="18"/>
                <w:szCs w:val="18"/>
                <w:b w:val="1"/>
                <w:bCs w:val="1"/>
                <w:color w:val="auto"/>
              </w:rPr>
              <w:t>Total expenses</w:t>
            </w:r>
          </w:p>
        </w:tc>
        <w:tc>
          <w:tcPr>
            <w:tcW w:w="1340" w:type="dxa"/>
            <w:vAlign w:val="bottom"/>
          </w:tcPr>
          <w:p>
            <w:pPr>
              <w:spacing w:after="0"/>
              <w:rPr>
                <w:sz w:val="19"/>
                <w:szCs w:val="19"/>
                <w:color w:val="auto"/>
              </w:rPr>
            </w:pP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7,541,788</w:t>
            </w:r>
          </w:p>
        </w:tc>
      </w:tr>
      <w:tr>
        <w:trPr>
          <w:trHeight w:val="223"/>
        </w:trPr>
        <w:tc>
          <w:tcPr>
            <w:tcW w:w="8040" w:type="dxa"/>
            <w:vAlign w:val="bottom"/>
          </w:tcPr>
          <w:p>
            <w:pPr>
              <w:spacing w:after="0"/>
              <w:rPr>
                <w:sz w:val="20"/>
                <w:szCs w:val="20"/>
                <w:color w:val="auto"/>
              </w:rPr>
            </w:pPr>
            <w:r>
              <w:rPr>
                <w:rFonts w:ascii="Arial" w:cs="Arial" w:eastAsia="Arial" w:hAnsi="Arial"/>
                <w:sz w:val="18"/>
                <w:szCs w:val="18"/>
                <w:b w:val="1"/>
                <w:bCs w:val="1"/>
                <w:color w:val="auto"/>
              </w:rPr>
              <w:t>Net investment loss</w:t>
            </w:r>
          </w:p>
        </w:tc>
        <w:tc>
          <w:tcPr>
            <w:tcW w:w="134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(6,132,443)</w:t>
            </w:r>
          </w:p>
        </w:tc>
      </w:tr>
      <w:tr>
        <w:trPr>
          <w:trHeight w:val="204"/>
        </w:trPr>
        <w:tc>
          <w:tcPr>
            <w:tcW w:w="8040" w:type="dxa"/>
            <w:vAlign w:val="bottom"/>
          </w:tcPr>
          <w:p>
            <w:pPr>
              <w:spacing w:after="0" w:line="204" w:lineRule="exact"/>
              <w:rPr>
                <w:sz w:val="20"/>
                <w:szCs w:val="20"/>
                <w:color w:val="auto"/>
              </w:rPr>
            </w:pPr>
            <w:r>
              <w:rPr>
                <w:rFonts w:ascii="Arial" w:cs="Arial" w:eastAsia="Arial" w:hAnsi="Arial"/>
                <w:sz w:val="18"/>
                <w:szCs w:val="18"/>
                <w:b w:val="1"/>
                <w:bCs w:val="1"/>
                <w:color w:val="auto"/>
              </w:rPr>
              <w:t>Realized and unrealized gain (loss) on investments:</w:t>
            </w:r>
          </w:p>
        </w:tc>
        <w:tc>
          <w:tcPr>
            <w:tcW w:w="13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8"/>
                <w:szCs w:val="18"/>
                <w:color w:val="auto"/>
              </w:rPr>
              <w:t>Net realized loss on investments</w:t>
            </w:r>
          </w:p>
        </w:tc>
        <w:tc>
          <w:tcPr>
            <w:tcW w:w="13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(3,542,858)</w:t>
            </w:r>
          </w:p>
        </w:tc>
      </w:tr>
      <w:tr>
        <w:trPr>
          <w:trHeight w:val="235"/>
        </w:trPr>
        <w:tc>
          <w:tcPr>
            <w:tcW w:w="8040" w:type="dxa"/>
            <w:vAlign w:val="bottom"/>
          </w:tcPr>
          <w:p>
            <w:pPr>
              <w:ind w:left="220"/>
              <w:spacing w:after="0"/>
              <w:rPr>
                <w:sz w:val="20"/>
                <w:szCs w:val="20"/>
                <w:color w:val="auto"/>
              </w:rPr>
            </w:pPr>
            <w:r>
              <w:rPr>
                <w:rFonts w:ascii="Arial" w:cs="Arial" w:eastAsia="Arial" w:hAnsi="Arial"/>
                <w:sz w:val="18"/>
                <w:szCs w:val="18"/>
                <w:color w:val="auto"/>
              </w:rPr>
              <w:t>Net unrealized loss on investments</w:t>
            </w:r>
          </w:p>
        </w:tc>
        <w:tc>
          <w:tcPr>
            <w:tcW w:w="1340" w:type="dxa"/>
            <w:vAlign w:val="bottom"/>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(102,256,001)</w:t>
            </w:r>
          </w:p>
        </w:tc>
      </w:tr>
      <w:tr>
        <w:trPr>
          <w:trHeight w:val="223"/>
        </w:trPr>
        <w:tc>
          <w:tcPr>
            <w:tcW w:w="8040" w:type="dxa"/>
            <w:vAlign w:val="bottom"/>
          </w:tcPr>
          <w:p>
            <w:pPr>
              <w:spacing w:after="0"/>
              <w:rPr>
                <w:sz w:val="20"/>
                <w:szCs w:val="20"/>
                <w:color w:val="auto"/>
              </w:rPr>
            </w:pPr>
            <w:r>
              <w:rPr>
                <w:rFonts w:ascii="Arial" w:cs="Arial" w:eastAsia="Arial" w:hAnsi="Arial"/>
                <w:sz w:val="18"/>
                <w:szCs w:val="18"/>
                <w:b w:val="1"/>
                <w:bCs w:val="1"/>
                <w:color w:val="auto"/>
              </w:rPr>
              <w:t>Net loss on investments</w:t>
            </w:r>
          </w:p>
        </w:tc>
        <w:tc>
          <w:tcPr>
            <w:tcW w:w="134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(105,798,859)</w:t>
            </w:r>
          </w:p>
        </w:tc>
      </w:tr>
      <w:tr>
        <w:trPr>
          <w:trHeight w:val="223"/>
        </w:trPr>
        <w:tc>
          <w:tcPr>
            <w:tcW w:w="8040" w:type="dxa"/>
            <w:vAlign w:val="bottom"/>
          </w:tcPr>
          <w:p>
            <w:pPr>
              <w:spacing w:after="0"/>
              <w:rPr>
                <w:sz w:val="20"/>
                <w:szCs w:val="20"/>
                <w:color w:val="auto"/>
              </w:rPr>
            </w:pPr>
            <w:r>
              <w:rPr>
                <w:rFonts w:ascii="Arial" w:cs="Arial" w:eastAsia="Arial" w:hAnsi="Arial"/>
                <w:sz w:val="18"/>
                <w:szCs w:val="18"/>
                <w:b w:val="1"/>
                <w:bCs w:val="1"/>
                <w:color w:val="auto"/>
              </w:rPr>
              <w:t>Net decrease in partners’ capital from operations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(111,931,302)</w:t>
            </w:r>
          </w:p>
        </w:tc>
      </w:tr>
      <w:tr>
        <w:trPr>
          <w:trHeight w:val="21"/>
        </w:trPr>
        <w:tc>
          <w:tcPr>
            <w:tcW w:w="8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ectPr>
          <w:pgSz w:w="11900" w:h="16838" w:orient="portrait"/>
          <w:cols w:equalWidth="0" w:num="1">
            <w:col w:w="11160"/>
          </w:cols>
          <w:pgMar w:left="380" w:top="1201" w:right="35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29"/>
        </w:trPr>
        <w:tc>
          <w:tcPr>
            <w:tcW w:w="3540" w:type="dxa"/>
            <w:vAlign w:val="bottom"/>
          </w:tcPr>
          <w:p>
            <w:pPr>
              <w:spacing w:after="0"/>
              <w:rPr>
                <w:sz w:val="19"/>
                <w:szCs w:val="19"/>
                <w:color w:val="auto"/>
              </w:rPr>
            </w:pPr>
          </w:p>
        </w:tc>
        <w:tc>
          <w:tcPr>
            <w:tcW w:w="4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MEDICI VENTURES, L.P.</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spacing w:after="0"/>
              <w:rPr>
                <w:sz w:val="19"/>
                <w:szCs w:val="19"/>
                <w:color w:val="auto"/>
              </w:rPr>
            </w:pPr>
          </w:p>
        </w:tc>
        <w:tc>
          <w:tcPr>
            <w:tcW w:w="4060" w:type="dxa"/>
            <w:vAlign w:val="bottom"/>
            <w:gridSpan w:val="2"/>
          </w:tcPr>
          <w:p>
            <w:pPr>
              <w:jc w:val="center"/>
              <w:spacing w:after="0"/>
              <w:rPr>
                <w:sz w:val="20"/>
                <w:szCs w:val="20"/>
                <w:color w:val="auto"/>
              </w:rPr>
            </w:pPr>
            <w:r>
              <w:rPr>
                <w:rFonts w:ascii="Arial" w:cs="Arial" w:eastAsia="Arial" w:hAnsi="Arial"/>
                <w:sz w:val="18"/>
                <w:szCs w:val="18"/>
                <w:color w:val="auto"/>
                <w:w w:val="99"/>
              </w:rPr>
              <w:t>(A Delaware Limited Partnership)</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19"/>
                <w:szCs w:val="19"/>
                <w:color w:val="auto"/>
              </w:rPr>
            </w:pPr>
          </w:p>
        </w:tc>
        <w:tc>
          <w:tcPr>
            <w:tcW w:w="4060" w:type="dxa"/>
            <w:vAlign w:val="bottom"/>
            <w:gridSpan w:val="2"/>
          </w:tcPr>
          <w:p>
            <w:pPr>
              <w:jc w:val="center"/>
              <w:spacing w:after="0"/>
              <w:rPr>
                <w:sz w:val="20"/>
                <w:szCs w:val="20"/>
                <w:color w:val="auto"/>
              </w:rPr>
            </w:pPr>
            <w:r>
              <w:rPr>
                <w:rFonts w:ascii="Arial" w:cs="Arial" w:eastAsia="Arial" w:hAnsi="Arial"/>
                <w:sz w:val="18"/>
                <w:szCs w:val="18"/>
                <w:color w:val="auto"/>
                <w:w w:val="99"/>
              </w:rPr>
              <w:t>Statement of Changes in Partners’ Capital</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spacing w:after="0"/>
              <w:rPr>
                <w:sz w:val="19"/>
                <w:szCs w:val="19"/>
                <w:color w:val="auto"/>
              </w:rPr>
            </w:pPr>
          </w:p>
        </w:tc>
        <w:tc>
          <w:tcPr>
            <w:tcW w:w="4060" w:type="dxa"/>
            <w:vAlign w:val="bottom"/>
            <w:gridSpan w:val="2"/>
          </w:tcPr>
          <w:p>
            <w:pPr>
              <w:jc w:val="center"/>
              <w:spacing w:after="0"/>
              <w:rPr>
                <w:sz w:val="20"/>
                <w:szCs w:val="20"/>
                <w:color w:val="auto"/>
              </w:rPr>
            </w:pPr>
            <w:r>
              <w:rPr>
                <w:rFonts w:ascii="Arial" w:cs="Arial" w:eastAsia="Arial" w:hAnsi="Arial"/>
                <w:sz w:val="18"/>
                <w:szCs w:val="18"/>
                <w:color w:val="auto"/>
                <w:w w:val="99"/>
              </w:rPr>
              <w:t>Year ended September 30, 2023</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b w:val="1"/>
                <w:bCs w:val="1"/>
                <w:color w:val="auto"/>
              </w:rPr>
              <w:t>General</w:t>
            </w:r>
          </w:p>
        </w:tc>
        <w:tc>
          <w:tcPr>
            <w:tcW w:w="280" w:type="dxa"/>
            <w:vAlign w:val="bottom"/>
          </w:tcPr>
          <w:p>
            <w:pPr>
              <w:spacing w:after="0"/>
              <w:rPr>
                <w:sz w:val="19"/>
                <w:szCs w:val="19"/>
                <w:color w:val="auto"/>
              </w:rPr>
            </w:pPr>
          </w:p>
        </w:tc>
        <w:tc>
          <w:tcPr>
            <w:tcW w:w="1540" w:type="dxa"/>
            <w:vAlign w:val="bottom"/>
          </w:tcPr>
          <w:p>
            <w:pPr>
              <w:jc w:val="right"/>
              <w:ind w:right="370"/>
              <w:spacing w:after="0"/>
              <w:rPr>
                <w:sz w:val="20"/>
                <w:szCs w:val="20"/>
                <w:color w:val="auto"/>
              </w:rPr>
            </w:pPr>
            <w:r>
              <w:rPr>
                <w:rFonts w:ascii="Arial" w:cs="Arial" w:eastAsia="Arial" w:hAnsi="Arial"/>
                <w:sz w:val="18"/>
                <w:szCs w:val="18"/>
                <w:b w:val="1"/>
                <w:bCs w:val="1"/>
                <w:color w:val="auto"/>
              </w:rPr>
              <w:t>Limited</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540" w:type="dxa"/>
            <w:vAlign w:val="bottom"/>
            <w:vMerge w:val="restart"/>
          </w:tcPr>
          <w:p>
            <w:pPr>
              <w:spacing w:after="0"/>
              <w:rPr>
                <w:sz w:val="20"/>
                <w:szCs w:val="20"/>
                <w:color w:val="auto"/>
              </w:rPr>
            </w:pPr>
            <w:r>
              <w:rPr>
                <w:rFonts w:ascii="Arial" w:cs="Arial" w:eastAsia="Arial" w:hAnsi="Arial"/>
                <w:sz w:val="18"/>
                <w:szCs w:val="18"/>
                <w:b w:val="1"/>
                <w:bCs w:val="1"/>
                <w:color w:val="auto"/>
              </w:rPr>
              <w:t>Balance at October 1, 2022</w:t>
            </w:r>
          </w:p>
        </w:tc>
        <w:tc>
          <w:tcPr>
            <w:tcW w:w="25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partner</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partner</w:t>
            </w:r>
          </w:p>
        </w:tc>
        <w:tc>
          <w:tcPr>
            <w:tcW w:w="2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8"/>
        </w:trPr>
        <w:tc>
          <w:tcPr>
            <w:tcW w:w="3540" w:type="dxa"/>
            <w:vAlign w:val="bottom"/>
            <w:vMerge w:val="continue"/>
          </w:tcPr>
          <w:p>
            <w:pPr>
              <w:spacing w:after="0"/>
              <w:rPr>
                <w:sz w:val="18"/>
                <w:szCs w:val="18"/>
                <w:color w:val="auto"/>
              </w:rPr>
            </w:pPr>
          </w:p>
        </w:tc>
        <w:tc>
          <w:tcPr>
            <w:tcW w:w="2540" w:type="dxa"/>
            <w:vAlign w:val="bottom"/>
            <w:vMerge w:val="continue"/>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17,444,262</w:t>
            </w:r>
          </w:p>
        </w:tc>
        <w:tc>
          <w:tcPr>
            <w:tcW w:w="280" w:type="dxa"/>
            <w:vAlign w:val="bottom"/>
            <w:vMerge w:val="continue"/>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213,335,771</w:t>
            </w:r>
          </w:p>
        </w:tc>
        <w:tc>
          <w:tcPr>
            <w:tcW w:w="280" w:type="dxa"/>
            <w:vAlign w:val="bottom"/>
            <w:vMerge w:val="continue"/>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230,780,033</w:t>
            </w:r>
          </w:p>
        </w:tc>
        <w:tc>
          <w:tcPr>
            <w:tcW w:w="0" w:type="dxa"/>
            <w:vAlign w:val="bottom"/>
          </w:tcPr>
          <w:p>
            <w:pPr>
              <w:spacing w:after="0"/>
              <w:rPr>
                <w:sz w:val="1"/>
                <w:szCs w:val="1"/>
                <w:color w:val="auto"/>
              </w:rPr>
            </w:pPr>
          </w:p>
        </w:tc>
      </w:tr>
      <w:tr>
        <w:trPr>
          <w:trHeight w:val="230"/>
        </w:trPr>
        <w:tc>
          <w:tcPr>
            <w:tcW w:w="3540" w:type="dxa"/>
            <w:vAlign w:val="bottom"/>
          </w:tcPr>
          <w:p>
            <w:pPr>
              <w:ind w:left="220"/>
              <w:spacing w:after="0"/>
              <w:rPr>
                <w:sz w:val="20"/>
                <w:szCs w:val="20"/>
                <w:color w:val="auto"/>
              </w:rPr>
            </w:pPr>
            <w:r>
              <w:rPr>
                <w:rFonts w:ascii="Arial" w:cs="Arial" w:eastAsia="Arial" w:hAnsi="Arial"/>
                <w:sz w:val="18"/>
                <w:szCs w:val="18"/>
                <w:color w:val="auto"/>
              </w:rPr>
              <w:t>Distributions</w:t>
            </w:r>
          </w:p>
        </w:tc>
        <w:tc>
          <w:tcPr>
            <w:tcW w:w="25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(4,141)</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(4,141)</w:t>
            </w:r>
          </w:p>
        </w:tc>
        <w:tc>
          <w:tcPr>
            <w:tcW w:w="0" w:type="dxa"/>
            <w:vAlign w:val="bottom"/>
          </w:tcPr>
          <w:p>
            <w:pPr>
              <w:spacing w:after="0"/>
              <w:rPr>
                <w:sz w:val="1"/>
                <w:szCs w:val="1"/>
                <w:color w:val="auto"/>
              </w:rPr>
            </w:pPr>
          </w:p>
        </w:tc>
      </w:tr>
      <w:tr>
        <w:trPr>
          <w:trHeight w:val="229"/>
        </w:trPr>
        <w:tc>
          <w:tcPr>
            <w:tcW w:w="3540" w:type="dxa"/>
            <w:vAlign w:val="bottom"/>
          </w:tcPr>
          <w:p>
            <w:pPr>
              <w:ind w:left="220"/>
              <w:spacing w:after="0"/>
              <w:rPr>
                <w:sz w:val="20"/>
                <w:szCs w:val="20"/>
                <w:color w:val="auto"/>
              </w:rPr>
            </w:pPr>
            <w:r>
              <w:rPr>
                <w:rFonts w:ascii="Arial" w:cs="Arial" w:eastAsia="Arial" w:hAnsi="Arial"/>
                <w:sz w:val="18"/>
                <w:szCs w:val="18"/>
                <w:color w:val="auto"/>
              </w:rPr>
              <w:t>Performance fee - unrealized</w:t>
            </w:r>
          </w:p>
        </w:tc>
        <w:tc>
          <w:tcPr>
            <w:tcW w:w="25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(45,433)</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(4,497,820)</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(4,543,253)</w:t>
            </w:r>
          </w:p>
        </w:tc>
        <w:tc>
          <w:tcPr>
            <w:tcW w:w="0" w:type="dxa"/>
            <w:vAlign w:val="bottom"/>
          </w:tcPr>
          <w:p>
            <w:pPr>
              <w:spacing w:after="0"/>
              <w:rPr>
                <w:sz w:val="1"/>
                <w:szCs w:val="1"/>
                <w:color w:val="auto"/>
              </w:rPr>
            </w:pPr>
          </w:p>
        </w:tc>
      </w:tr>
      <w:tr>
        <w:trPr>
          <w:trHeight w:val="230"/>
        </w:trPr>
        <w:tc>
          <w:tcPr>
            <w:tcW w:w="3540" w:type="dxa"/>
            <w:vAlign w:val="bottom"/>
          </w:tcPr>
          <w:p>
            <w:pPr>
              <w:ind w:left="220"/>
              <w:spacing w:after="0"/>
              <w:rPr>
                <w:sz w:val="20"/>
                <w:szCs w:val="20"/>
                <w:color w:val="auto"/>
              </w:rPr>
            </w:pPr>
            <w:r>
              <w:rPr>
                <w:rFonts w:ascii="Arial" w:cs="Arial" w:eastAsia="Arial" w:hAnsi="Arial"/>
                <w:sz w:val="18"/>
                <w:szCs w:val="18"/>
                <w:color w:val="auto"/>
              </w:rPr>
              <w:t>Net investment income (loss)</w:t>
            </w:r>
          </w:p>
        </w:tc>
        <w:tc>
          <w:tcPr>
            <w:tcW w:w="25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9,108</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(1,598,298)</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(1,589,190)</w:t>
            </w:r>
          </w:p>
        </w:tc>
        <w:tc>
          <w:tcPr>
            <w:tcW w:w="0" w:type="dxa"/>
            <w:vAlign w:val="bottom"/>
          </w:tcPr>
          <w:p>
            <w:pPr>
              <w:spacing w:after="0"/>
              <w:rPr>
                <w:sz w:val="1"/>
                <w:szCs w:val="1"/>
                <w:color w:val="auto"/>
              </w:rPr>
            </w:pPr>
          </w:p>
        </w:tc>
      </w:tr>
      <w:tr>
        <w:trPr>
          <w:trHeight w:val="229"/>
        </w:trPr>
        <w:tc>
          <w:tcPr>
            <w:tcW w:w="3540" w:type="dxa"/>
            <w:vAlign w:val="bottom"/>
          </w:tcPr>
          <w:p>
            <w:pPr>
              <w:ind w:left="220"/>
              <w:spacing w:after="0"/>
              <w:rPr>
                <w:sz w:val="20"/>
                <w:szCs w:val="20"/>
                <w:color w:val="auto"/>
              </w:rPr>
            </w:pPr>
            <w:r>
              <w:rPr>
                <w:rFonts w:ascii="Arial" w:cs="Arial" w:eastAsia="Arial" w:hAnsi="Arial"/>
                <w:sz w:val="18"/>
                <w:szCs w:val="18"/>
                <w:color w:val="auto"/>
              </w:rPr>
              <w:t>Net unrealized loss from investments</w:t>
            </w:r>
          </w:p>
        </w:tc>
        <w:tc>
          <w:tcPr>
            <w:tcW w:w="25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(1,022,560)</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(101,233,441)</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(102,256,001)</w:t>
            </w:r>
          </w:p>
        </w:tc>
        <w:tc>
          <w:tcPr>
            <w:tcW w:w="0" w:type="dxa"/>
            <w:vAlign w:val="bottom"/>
          </w:tcPr>
          <w:p>
            <w:pPr>
              <w:spacing w:after="0"/>
              <w:rPr>
                <w:sz w:val="1"/>
                <w:szCs w:val="1"/>
                <w:color w:val="auto"/>
              </w:rPr>
            </w:pPr>
          </w:p>
        </w:tc>
      </w:tr>
      <w:tr>
        <w:trPr>
          <w:trHeight w:val="229"/>
        </w:trPr>
        <w:tc>
          <w:tcPr>
            <w:tcW w:w="3540" w:type="dxa"/>
            <w:vAlign w:val="bottom"/>
          </w:tcPr>
          <w:p>
            <w:pPr>
              <w:ind w:left="220"/>
              <w:spacing w:after="0"/>
              <w:rPr>
                <w:sz w:val="20"/>
                <w:szCs w:val="20"/>
                <w:color w:val="auto"/>
              </w:rPr>
            </w:pPr>
            <w:r>
              <w:rPr>
                <w:rFonts w:ascii="Arial" w:cs="Arial" w:eastAsia="Arial" w:hAnsi="Arial"/>
                <w:sz w:val="18"/>
                <w:szCs w:val="18"/>
                <w:color w:val="auto"/>
              </w:rPr>
              <w:t>Net realized loss on investments</w:t>
            </w:r>
          </w:p>
        </w:tc>
        <w:tc>
          <w:tcPr>
            <w:tcW w:w="25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(35,429)</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(3,507,429)</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(3,542,858)</w:t>
            </w:r>
          </w:p>
        </w:tc>
        <w:tc>
          <w:tcPr>
            <w:tcW w:w="0" w:type="dxa"/>
            <w:vAlign w:val="bottom"/>
          </w:tcPr>
          <w:p>
            <w:pPr>
              <w:spacing w:after="0"/>
              <w:rPr>
                <w:sz w:val="1"/>
                <w:szCs w:val="1"/>
                <w:color w:val="auto"/>
              </w:rPr>
            </w:pPr>
          </w:p>
        </w:tc>
      </w:tr>
      <w:tr>
        <w:trPr>
          <w:trHeight w:val="235"/>
        </w:trPr>
        <w:tc>
          <w:tcPr>
            <w:tcW w:w="3540" w:type="dxa"/>
            <w:vAlign w:val="bottom"/>
          </w:tcPr>
          <w:p>
            <w:pPr>
              <w:ind w:left="220"/>
              <w:spacing w:after="0"/>
              <w:rPr>
                <w:sz w:val="20"/>
                <w:szCs w:val="20"/>
                <w:color w:val="auto"/>
              </w:rPr>
            </w:pPr>
            <w:r>
              <w:rPr>
                <w:rFonts w:ascii="Arial" w:cs="Arial" w:eastAsia="Arial" w:hAnsi="Arial"/>
                <w:sz w:val="18"/>
                <w:szCs w:val="18"/>
                <w:color w:val="auto"/>
              </w:rPr>
              <w:t>Allocation of carried interest</w:t>
            </w:r>
          </w:p>
        </w:tc>
        <w:tc>
          <w:tcPr>
            <w:tcW w:w="254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(12,331,999)</w:t>
            </w:r>
          </w:p>
        </w:tc>
        <w:tc>
          <w:tcPr>
            <w:tcW w:w="28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12,331,999</w:t>
            </w:r>
          </w:p>
        </w:tc>
        <w:tc>
          <w:tcPr>
            <w:tcW w:w="28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b w:val="1"/>
                <w:bCs w:val="1"/>
                <w:color w:val="auto"/>
              </w:rPr>
              <w:t>Balance at September 30, 2023</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4,017,949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114,826,641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118,844,590</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ectPr>
          <w:pgSz w:w="11900" w:h="16838" w:orient="portrait"/>
          <w:cols w:equalWidth="0" w:num="1">
            <w:col w:w="11220"/>
          </w:cols>
          <w:pgMar w:left="340" w:top="1201"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29"/>
        </w:trPr>
        <w:tc>
          <w:tcPr>
            <w:tcW w:w="8080" w:type="dxa"/>
            <w:vAlign w:val="bottom"/>
          </w:tcPr>
          <w:p>
            <w:pPr>
              <w:jc w:val="center"/>
              <w:ind w:left="3010"/>
              <w:spacing w:after="0"/>
              <w:rPr>
                <w:sz w:val="20"/>
                <w:szCs w:val="20"/>
                <w:color w:val="auto"/>
              </w:rPr>
            </w:pPr>
            <w:r>
              <w:rPr>
                <w:rFonts w:ascii="Arial" w:cs="Arial" w:eastAsia="Arial" w:hAnsi="Arial"/>
                <w:sz w:val="18"/>
                <w:szCs w:val="18"/>
                <w:b w:val="1"/>
                <w:bCs w:val="1"/>
                <w:color w:val="auto"/>
                <w:w w:val="98"/>
              </w:rPr>
              <w:t>MEDICI VENTURES, L.P.</w:t>
            </w:r>
          </w:p>
        </w:tc>
        <w:tc>
          <w:tcPr>
            <w:tcW w:w="13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tcPr>
          <w:p>
            <w:pPr>
              <w:jc w:val="center"/>
              <w:ind w:left="2990"/>
              <w:spacing w:after="0"/>
              <w:rPr>
                <w:sz w:val="20"/>
                <w:szCs w:val="20"/>
                <w:color w:val="auto"/>
              </w:rPr>
            </w:pPr>
            <w:r>
              <w:rPr>
                <w:rFonts w:ascii="Arial" w:cs="Arial" w:eastAsia="Arial" w:hAnsi="Arial"/>
                <w:sz w:val="18"/>
                <w:szCs w:val="18"/>
                <w:color w:val="auto"/>
                <w:w w:val="99"/>
              </w:rPr>
              <w:t>(A Delaware Limited Partnership)</w:t>
            </w:r>
          </w:p>
        </w:tc>
        <w:tc>
          <w:tcPr>
            <w:tcW w:w="13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tcPr>
          <w:p>
            <w:pPr>
              <w:jc w:val="center"/>
              <w:ind w:left="2990"/>
              <w:spacing w:after="0"/>
              <w:rPr>
                <w:sz w:val="20"/>
                <w:szCs w:val="20"/>
                <w:color w:val="auto"/>
              </w:rPr>
            </w:pPr>
            <w:r>
              <w:rPr>
                <w:rFonts w:ascii="Arial" w:cs="Arial" w:eastAsia="Arial" w:hAnsi="Arial"/>
                <w:sz w:val="18"/>
                <w:szCs w:val="18"/>
                <w:color w:val="auto"/>
                <w:w w:val="99"/>
              </w:rPr>
              <w:t>Statement of Cash Flows</w:t>
            </w:r>
          </w:p>
        </w:tc>
        <w:tc>
          <w:tcPr>
            <w:tcW w:w="13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tcPr>
          <w:p>
            <w:pPr>
              <w:jc w:val="center"/>
              <w:ind w:left="2990"/>
              <w:spacing w:after="0"/>
              <w:rPr>
                <w:sz w:val="20"/>
                <w:szCs w:val="20"/>
                <w:color w:val="auto"/>
              </w:rPr>
            </w:pPr>
            <w:r>
              <w:rPr>
                <w:rFonts w:ascii="Arial" w:cs="Arial" w:eastAsia="Arial" w:hAnsi="Arial"/>
                <w:sz w:val="18"/>
                <w:szCs w:val="18"/>
                <w:color w:val="auto"/>
                <w:w w:val="99"/>
              </w:rPr>
              <w:t>Year ended September 30, 2023</w:t>
            </w:r>
          </w:p>
        </w:tc>
        <w:tc>
          <w:tcPr>
            <w:tcW w:w="13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Net decrease in partners’ capital from operations</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(111,931,302)</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Adjustments to reconcile net decrease in partners’ capital from operations to</w:t>
            </w:r>
          </w:p>
        </w:tc>
        <w:tc>
          <w:tcPr>
            <w:tcW w:w="13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440"/>
              <w:spacing w:after="0"/>
              <w:rPr>
                <w:sz w:val="20"/>
                <w:szCs w:val="20"/>
                <w:color w:val="auto"/>
              </w:rPr>
            </w:pPr>
            <w:r>
              <w:rPr>
                <w:rFonts w:ascii="Arial" w:cs="Arial" w:eastAsia="Arial" w:hAnsi="Arial"/>
                <w:sz w:val="18"/>
                <w:szCs w:val="18"/>
                <w:color w:val="auto"/>
              </w:rPr>
              <w:t>net cash used by operating activities:</w:t>
            </w:r>
          </w:p>
        </w:tc>
        <w:tc>
          <w:tcPr>
            <w:tcW w:w="13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640"/>
              <w:spacing w:after="0"/>
              <w:rPr>
                <w:sz w:val="20"/>
                <w:szCs w:val="20"/>
                <w:color w:val="auto"/>
              </w:rPr>
            </w:pPr>
            <w:r>
              <w:rPr>
                <w:rFonts w:ascii="Arial" w:cs="Arial" w:eastAsia="Arial" w:hAnsi="Arial"/>
                <w:sz w:val="18"/>
                <w:szCs w:val="18"/>
                <w:color w:val="auto"/>
              </w:rPr>
              <w:t>Net realized loss on investments</w:t>
            </w:r>
          </w:p>
        </w:tc>
        <w:tc>
          <w:tcPr>
            <w:tcW w:w="1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3,542,858</w:t>
            </w:r>
          </w:p>
        </w:tc>
        <w:tc>
          <w:tcPr>
            <w:tcW w:w="0" w:type="dxa"/>
            <w:vAlign w:val="bottom"/>
          </w:tcPr>
          <w:p>
            <w:pPr>
              <w:spacing w:after="0"/>
              <w:rPr>
                <w:sz w:val="1"/>
                <w:szCs w:val="1"/>
                <w:color w:val="auto"/>
              </w:rPr>
            </w:pPr>
          </w:p>
        </w:tc>
      </w:tr>
      <w:tr>
        <w:trPr>
          <w:trHeight w:val="229"/>
        </w:trPr>
        <w:tc>
          <w:tcPr>
            <w:tcW w:w="8080" w:type="dxa"/>
            <w:vAlign w:val="bottom"/>
          </w:tcPr>
          <w:p>
            <w:pPr>
              <w:ind w:left="640"/>
              <w:spacing w:after="0"/>
              <w:rPr>
                <w:sz w:val="20"/>
                <w:szCs w:val="20"/>
                <w:color w:val="auto"/>
              </w:rPr>
            </w:pPr>
            <w:r>
              <w:rPr>
                <w:rFonts w:ascii="Arial" w:cs="Arial" w:eastAsia="Arial" w:hAnsi="Arial"/>
                <w:sz w:val="18"/>
                <w:szCs w:val="18"/>
                <w:color w:val="auto"/>
              </w:rPr>
              <w:t>Net unrealized loss on investments</w:t>
            </w:r>
          </w:p>
        </w:tc>
        <w:tc>
          <w:tcPr>
            <w:tcW w:w="1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102,256,001</w:t>
            </w:r>
          </w:p>
        </w:tc>
        <w:tc>
          <w:tcPr>
            <w:tcW w:w="0" w:type="dxa"/>
            <w:vAlign w:val="bottom"/>
          </w:tcPr>
          <w:p>
            <w:pPr>
              <w:spacing w:after="0"/>
              <w:rPr>
                <w:sz w:val="1"/>
                <w:szCs w:val="1"/>
                <w:color w:val="auto"/>
              </w:rPr>
            </w:pPr>
          </w:p>
        </w:tc>
      </w:tr>
      <w:tr>
        <w:trPr>
          <w:trHeight w:val="230"/>
        </w:trPr>
        <w:tc>
          <w:tcPr>
            <w:tcW w:w="8080" w:type="dxa"/>
            <w:vAlign w:val="bottom"/>
          </w:tcPr>
          <w:p>
            <w:pPr>
              <w:ind w:left="640"/>
              <w:spacing w:after="0"/>
              <w:rPr>
                <w:sz w:val="20"/>
                <w:szCs w:val="20"/>
                <w:color w:val="auto"/>
              </w:rPr>
            </w:pPr>
            <w:r>
              <w:rPr>
                <w:rFonts w:ascii="Arial" w:cs="Arial" w:eastAsia="Arial" w:hAnsi="Arial"/>
                <w:sz w:val="18"/>
                <w:szCs w:val="18"/>
                <w:color w:val="auto"/>
              </w:rPr>
              <w:t>Purchase of investments</w:t>
            </w:r>
          </w:p>
        </w:tc>
        <w:tc>
          <w:tcPr>
            <w:tcW w:w="1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(9,968,351)</w:t>
            </w:r>
          </w:p>
        </w:tc>
        <w:tc>
          <w:tcPr>
            <w:tcW w:w="0" w:type="dxa"/>
            <w:vAlign w:val="bottom"/>
          </w:tcPr>
          <w:p>
            <w:pPr>
              <w:spacing w:after="0"/>
              <w:rPr>
                <w:sz w:val="1"/>
                <w:szCs w:val="1"/>
                <w:color w:val="auto"/>
              </w:rPr>
            </w:pPr>
          </w:p>
        </w:tc>
      </w:tr>
      <w:tr>
        <w:trPr>
          <w:trHeight w:val="229"/>
        </w:trPr>
        <w:tc>
          <w:tcPr>
            <w:tcW w:w="8080" w:type="dxa"/>
            <w:vAlign w:val="bottom"/>
          </w:tcPr>
          <w:p>
            <w:pPr>
              <w:ind w:left="640"/>
              <w:spacing w:after="0"/>
              <w:rPr>
                <w:sz w:val="20"/>
                <w:szCs w:val="20"/>
                <w:color w:val="auto"/>
              </w:rPr>
            </w:pPr>
            <w:r>
              <w:rPr>
                <w:rFonts w:ascii="Arial" w:cs="Arial" w:eastAsia="Arial" w:hAnsi="Arial"/>
                <w:sz w:val="18"/>
                <w:szCs w:val="18"/>
                <w:color w:val="auto"/>
              </w:rPr>
              <w:t>Repayment of convertible note</w:t>
            </w:r>
          </w:p>
        </w:tc>
        <w:tc>
          <w:tcPr>
            <w:tcW w:w="1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30"/>
        </w:trPr>
        <w:tc>
          <w:tcPr>
            <w:tcW w:w="8080" w:type="dxa"/>
            <w:vAlign w:val="bottom"/>
          </w:tcPr>
          <w:p>
            <w:pPr>
              <w:ind w:left="640"/>
              <w:spacing w:after="0"/>
              <w:rPr>
                <w:sz w:val="20"/>
                <w:szCs w:val="20"/>
                <w:color w:val="auto"/>
              </w:rPr>
            </w:pPr>
            <w:r>
              <w:rPr>
                <w:rFonts w:ascii="Arial" w:cs="Arial" w:eastAsia="Arial" w:hAnsi="Arial"/>
                <w:sz w:val="18"/>
                <w:szCs w:val="18"/>
                <w:color w:val="auto"/>
              </w:rPr>
              <w:t>Proceeds from escrow</w:t>
            </w:r>
          </w:p>
        </w:tc>
        <w:tc>
          <w:tcPr>
            <w:tcW w:w="1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8,365</w:t>
            </w:r>
          </w:p>
        </w:tc>
        <w:tc>
          <w:tcPr>
            <w:tcW w:w="0" w:type="dxa"/>
            <w:vAlign w:val="bottom"/>
          </w:tcPr>
          <w:p>
            <w:pPr>
              <w:spacing w:after="0"/>
              <w:rPr>
                <w:sz w:val="1"/>
                <w:szCs w:val="1"/>
                <w:color w:val="auto"/>
              </w:rPr>
            </w:pPr>
          </w:p>
        </w:tc>
      </w:tr>
      <w:tr>
        <w:trPr>
          <w:trHeight w:val="229"/>
        </w:trPr>
        <w:tc>
          <w:tcPr>
            <w:tcW w:w="80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3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640"/>
              <w:spacing w:after="0"/>
              <w:rPr>
                <w:sz w:val="20"/>
                <w:szCs w:val="20"/>
                <w:color w:val="auto"/>
              </w:rPr>
            </w:pPr>
            <w:r>
              <w:rPr>
                <w:rFonts w:ascii="Arial" w:cs="Arial" w:eastAsia="Arial" w:hAnsi="Arial"/>
                <w:sz w:val="18"/>
                <w:szCs w:val="18"/>
                <w:color w:val="auto"/>
              </w:rPr>
              <w:t>Decrease in other assets</w:t>
            </w:r>
          </w:p>
        </w:tc>
        <w:tc>
          <w:tcPr>
            <w:tcW w:w="1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16,312</w:t>
            </w:r>
          </w:p>
        </w:tc>
        <w:tc>
          <w:tcPr>
            <w:tcW w:w="0" w:type="dxa"/>
            <w:vAlign w:val="bottom"/>
          </w:tcPr>
          <w:p>
            <w:pPr>
              <w:spacing w:after="0"/>
              <w:rPr>
                <w:sz w:val="1"/>
                <w:szCs w:val="1"/>
                <w:color w:val="auto"/>
              </w:rPr>
            </w:pPr>
          </w:p>
        </w:tc>
      </w:tr>
      <w:tr>
        <w:trPr>
          <w:trHeight w:val="230"/>
        </w:trPr>
        <w:tc>
          <w:tcPr>
            <w:tcW w:w="8080" w:type="dxa"/>
            <w:vAlign w:val="bottom"/>
          </w:tcPr>
          <w:p>
            <w:pPr>
              <w:ind w:left="640"/>
              <w:spacing w:after="0"/>
              <w:rPr>
                <w:sz w:val="20"/>
                <w:szCs w:val="20"/>
                <w:color w:val="auto"/>
              </w:rPr>
            </w:pPr>
            <w:r>
              <w:rPr>
                <w:rFonts w:ascii="Arial" w:cs="Arial" w:eastAsia="Arial" w:hAnsi="Arial"/>
                <w:sz w:val="18"/>
                <w:szCs w:val="18"/>
                <w:color w:val="auto"/>
              </w:rPr>
              <w:t>Increase in related party payable</w:t>
            </w:r>
          </w:p>
        </w:tc>
        <w:tc>
          <w:tcPr>
            <w:tcW w:w="1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182,346</w:t>
            </w:r>
          </w:p>
        </w:tc>
        <w:tc>
          <w:tcPr>
            <w:tcW w:w="0" w:type="dxa"/>
            <w:vAlign w:val="bottom"/>
          </w:tcPr>
          <w:p>
            <w:pPr>
              <w:spacing w:after="0"/>
              <w:rPr>
                <w:sz w:val="1"/>
                <w:szCs w:val="1"/>
                <w:color w:val="auto"/>
              </w:rPr>
            </w:pPr>
          </w:p>
        </w:tc>
      </w:tr>
      <w:tr>
        <w:trPr>
          <w:trHeight w:val="235"/>
        </w:trPr>
        <w:tc>
          <w:tcPr>
            <w:tcW w:w="8080" w:type="dxa"/>
            <w:vAlign w:val="bottom"/>
          </w:tcPr>
          <w:p>
            <w:pPr>
              <w:ind w:left="640"/>
              <w:spacing w:after="0"/>
              <w:rPr>
                <w:sz w:val="20"/>
                <w:szCs w:val="20"/>
                <w:color w:val="auto"/>
              </w:rPr>
            </w:pPr>
            <w:r>
              <w:rPr>
                <w:rFonts w:ascii="Arial" w:cs="Arial" w:eastAsia="Arial" w:hAnsi="Arial"/>
                <w:sz w:val="18"/>
                <w:szCs w:val="18"/>
                <w:color w:val="auto"/>
              </w:rPr>
              <w:t>Increase in performance fee liability</w:t>
            </w:r>
          </w:p>
        </w:tc>
        <w:tc>
          <w:tcPr>
            <w:tcW w:w="1360" w:type="dxa"/>
            <w:vAlign w:val="bottom"/>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4,543,253</w:t>
            </w:r>
          </w:p>
        </w:tc>
        <w:tc>
          <w:tcPr>
            <w:tcW w:w="0" w:type="dxa"/>
            <w:vAlign w:val="bottom"/>
          </w:tcPr>
          <w:p>
            <w:pPr>
              <w:spacing w:after="0"/>
              <w:rPr>
                <w:sz w:val="1"/>
                <w:szCs w:val="1"/>
                <w:color w:val="auto"/>
              </w:rPr>
            </w:pPr>
          </w:p>
        </w:tc>
      </w:tr>
      <w:tr>
        <w:trPr>
          <w:trHeight w:val="223"/>
        </w:trPr>
        <w:tc>
          <w:tcPr>
            <w:tcW w:w="8080" w:type="dxa"/>
            <w:vAlign w:val="bottom"/>
          </w:tcPr>
          <w:p>
            <w:pPr>
              <w:ind w:left="1080"/>
              <w:spacing w:after="0"/>
              <w:rPr>
                <w:sz w:val="20"/>
                <w:szCs w:val="20"/>
                <w:color w:val="auto"/>
              </w:rPr>
            </w:pPr>
            <w:r>
              <w:rPr>
                <w:rFonts w:ascii="Arial" w:cs="Arial" w:eastAsia="Arial" w:hAnsi="Arial"/>
                <w:sz w:val="18"/>
                <w:szCs w:val="18"/>
                <w:b w:val="1"/>
                <w:bCs w:val="1"/>
                <w:color w:val="auto"/>
              </w:rPr>
              <w:t>Net cash used by operating activities</w:t>
            </w:r>
          </w:p>
        </w:tc>
        <w:tc>
          <w:tcPr>
            <w:tcW w:w="136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(8,350,518)</w:t>
            </w:r>
          </w:p>
        </w:tc>
        <w:tc>
          <w:tcPr>
            <w:tcW w:w="0" w:type="dxa"/>
            <w:vAlign w:val="bottom"/>
          </w:tcPr>
          <w:p>
            <w:pPr>
              <w:spacing w:after="0"/>
              <w:rPr>
                <w:sz w:val="1"/>
                <w:szCs w:val="1"/>
                <w:color w:val="auto"/>
              </w:rPr>
            </w:pPr>
          </w:p>
        </w:tc>
      </w:tr>
      <w:tr>
        <w:trPr>
          <w:trHeight w:val="204"/>
        </w:trPr>
        <w:tc>
          <w:tcPr>
            <w:tcW w:w="8080" w:type="dxa"/>
            <w:vAlign w:val="bottom"/>
          </w:tcPr>
          <w:p>
            <w:pPr>
              <w:spacing w:after="0" w:line="204" w:lineRule="exact"/>
              <w:rPr>
                <w:sz w:val="20"/>
                <w:szCs w:val="20"/>
                <w:color w:val="auto"/>
              </w:rPr>
            </w:pPr>
            <w:r>
              <w:rPr>
                <w:rFonts w:ascii="Arial" w:cs="Arial" w:eastAsia="Arial" w:hAnsi="Arial"/>
                <w:sz w:val="18"/>
                <w:szCs w:val="18"/>
                <w:b w:val="1"/>
                <w:bCs w:val="1"/>
                <w:color w:val="auto"/>
              </w:rPr>
              <w:t>Cash flows from financing activities:</w:t>
            </w:r>
          </w:p>
        </w:tc>
        <w:tc>
          <w:tcPr>
            <w:tcW w:w="1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8080" w:type="dxa"/>
            <w:vAlign w:val="bottom"/>
          </w:tcPr>
          <w:p>
            <w:pPr>
              <w:ind w:left="220"/>
              <w:spacing w:after="0"/>
              <w:rPr>
                <w:sz w:val="20"/>
                <w:szCs w:val="20"/>
                <w:color w:val="auto"/>
              </w:rPr>
            </w:pPr>
            <w:r>
              <w:rPr>
                <w:rFonts w:ascii="Arial" w:cs="Arial" w:eastAsia="Arial" w:hAnsi="Arial"/>
                <w:sz w:val="18"/>
                <w:szCs w:val="18"/>
                <w:color w:val="auto"/>
              </w:rPr>
              <w:t>Distributions to partners</w:t>
            </w:r>
          </w:p>
        </w:tc>
        <w:tc>
          <w:tcPr>
            <w:tcW w:w="1360" w:type="dxa"/>
            <w:vAlign w:val="bottom"/>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(4,141)</w:t>
            </w:r>
          </w:p>
        </w:tc>
        <w:tc>
          <w:tcPr>
            <w:tcW w:w="0" w:type="dxa"/>
            <w:vAlign w:val="bottom"/>
          </w:tcPr>
          <w:p>
            <w:pPr>
              <w:spacing w:after="0"/>
              <w:rPr>
                <w:sz w:val="1"/>
                <w:szCs w:val="1"/>
                <w:color w:val="auto"/>
              </w:rPr>
            </w:pPr>
          </w:p>
        </w:tc>
      </w:tr>
      <w:tr>
        <w:trPr>
          <w:trHeight w:val="223"/>
        </w:trPr>
        <w:tc>
          <w:tcPr>
            <w:tcW w:w="8080" w:type="dxa"/>
            <w:vAlign w:val="bottom"/>
          </w:tcPr>
          <w:p>
            <w:pPr>
              <w:ind w:left="1080"/>
              <w:spacing w:after="0"/>
              <w:rPr>
                <w:sz w:val="20"/>
                <w:szCs w:val="20"/>
                <w:color w:val="auto"/>
              </w:rPr>
            </w:pPr>
            <w:r>
              <w:rPr>
                <w:rFonts w:ascii="Arial" w:cs="Arial" w:eastAsia="Arial" w:hAnsi="Arial"/>
                <w:sz w:val="18"/>
                <w:szCs w:val="18"/>
                <w:b w:val="1"/>
                <w:bCs w:val="1"/>
                <w:color w:val="auto"/>
              </w:rPr>
              <w:t>Net cash used by financing activities</w:t>
            </w:r>
          </w:p>
        </w:tc>
        <w:tc>
          <w:tcPr>
            <w:tcW w:w="136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(4,141)</w:t>
            </w:r>
          </w:p>
        </w:tc>
        <w:tc>
          <w:tcPr>
            <w:tcW w:w="0" w:type="dxa"/>
            <w:vAlign w:val="bottom"/>
          </w:tcPr>
          <w:p>
            <w:pPr>
              <w:spacing w:after="0"/>
              <w:rPr>
                <w:sz w:val="1"/>
                <w:szCs w:val="1"/>
                <w:color w:val="auto"/>
              </w:rPr>
            </w:pPr>
          </w:p>
        </w:tc>
      </w:tr>
      <w:tr>
        <w:trPr>
          <w:trHeight w:val="223"/>
        </w:trPr>
        <w:tc>
          <w:tcPr>
            <w:tcW w:w="8080" w:type="dxa"/>
            <w:vAlign w:val="bottom"/>
          </w:tcPr>
          <w:p>
            <w:pPr>
              <w:ind w:left="1080"/>
              <w:spacing w:after="0"/>
              <w:rPr>
                <w:sz w:val="20"/>
                <w:szCs w:val="20"/>
                <w:color w:val="auto"/>
              </w:rPr>
            </w:pPr>
            <w:r>
              <w:rPr>
                <w:rFonts w:ascii="Arial" w:cs="Arial" w:eastAsia="Arial" w:hAnsi="Arial"/>
                <w:sz w:val="18"/>
                <w:szCs w:val="18"/>
                <w:b w:val="1"/>
                <w:bCs w:val="1"/>
                <w:color w:val="auto"/>
              </w:rPr>
              <w:t>Net decrease in cash</w:t>
            </w:r>
          </w:p>
        </w:tc>
        <w:tc>
          <w:tcPr>
            <w:tcW w:w="136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(8,354,659)</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20"/>
                <w:szCs w:val="20"/>
                <w:color w:val="auto"/>
              </w:rPr>
            </w:pPr>
            <w:r>
              <w:rPr>
                <w:rFonts w:ascii="Arial" w:cs="Arial" w:eastAsia="Arial" w:hAnsi="Arial"/>
                <w:sz w:val="18"/>
                <w:szCs w:val="18"/>
                <w:b w:val="1"/>
                <w:bCs w:val="1"/>
                <w:color w:val="auto"/>
              </w:rPr>
              <w:t>Cash, beginning of year</w:t>
            </w:r>
          </w:p>
        </w:tc>
        <w:tc>
          <w:tcPr>
            <w:tcW w:w="136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21,237,569</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20"/>
                <w:szCs w:val="20"/>
                <w:color w:val="auto"/>
              </w:rPr>
            </w:pPr>
            <w:r>
              <w:rPr>
                <w:rFonts w:ascii="Arial" w:cs="Arial" w:eastAsia="Arial" w:hAnsi="Arial"/>
                <w:sz w:val="18"/>
                <w:szCs w:val="18"/>
                <w:b w:val="1"/>
                <w:bCs w:val="1"/>
                <w:color w:val="auto"/>
              </w:rPr>
              <w:t>Cash, end of year</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12,882,910</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cashflow information:</w:t>
            </w:r>
          </w:p>
        </w:tc>
        <w:tc>
          <w:tcPr>
            <w:tcW w:w="13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808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Interest income from convertible notes</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141,942</w:t>
            </w:r>
          </w:p>
        </w:tc>
        <w:tc>
          <w:tcPr>
            <w:tcW w:w="0" w:type="dxa"/>
            <w:vAlign w:val="bottom"/>
          </w:tcPr>
          <w:p>
            <w:pPr>
              <w:spacing w:after="0"/>
              <w:rPr>
                <w:sz w:val="1"/>
                <w:szCs w:val="1"/>
                <w:color w:val="auto"/>
              </w:rPr>
            </w:pPr>
          </w:p>
        </w:tc>
      </w:tr>
      <w:tr>
        <w:trPr>
          <w:trHeight w:val="239"/>
        </w:trPr>
        <w:tc>
          <w:tcPr>
            <w:tcW w:w="8080" w:type="dxa"/>
            <w:vAlign w:val="bottom"/>
          </w:tcPr>
          <w:p>
            <w:pPr>
              <w:ind w:left="220"/>
              <w:spacing w:after="0"/>
              <w:rPr>
                <w:sz w:val="20"/>
                <w:szCs w:val="20"/>
                <w:color w:val="auto"/>
              </w:rPr>
            </w:pPr>
            <w:r>
              <w:rPr>
                <w:rFonts w:ascii="Arial" w:cs="Arial" w:eastAsia="Arial" w:hAnsi="Arial"/>
                <w:sz w:val="18"/>
                <w:szCs w:val="18"/>
                <w:color w:val="auto"/>
              </w:rPr>
              <w:t>Interest received from cash accounts</w:t>
            </w:r>
          </w:p>
        </w:tc>
        <w:tc>
          <w:tcPr>
            <w:tcW w:w="13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560,994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ectPr>
          <w:pgSz w:w="11900" w:h="16838" w:orient="portrait"/>
          <w:cols w:equalWidth="0" w:num="1">
            <w:col w:w="11180"/>
          </w:cols>
          <w:pgMar w:left="360" w:top="1201" w:right="359" w:bottom="1440" w:gutter="0" w:footer="0" w:header="0"/>
        </w:sectPr>
      </w:pPr>
    </w:p>
    <w:bookmarkStart w:id="112" w:name="page113"/>
    <w:bookmarkEnd w:id="112"/>
    <w:p>
      <w:pPr>
        <w:jc w:val="center"/>
        <w:ind w:right="-11"/>
        <w:spacing w:after="0"/>
        <w:rPr>
          <w:sz w:val="20"/>
          <w:szCs w:val="20"/>
          <w:color w:val="auto"/>
        </w:rPr>
      </w:pPr>
      <w:r>
        <w:rPr>
          <w:rFonts w:ascii="Arial" w:cs="Arial" w:eastAsia="Arial" w:hAnsi="Arial"/>
          <w:sz w:val="18"/>
          <w:szCs w:val="18"/>
          <w:b w:val="1"/>
          <w:bCs w:val="1"/>
          <w:color w:val="auto"/>
        </w:rPr>
        <w:t>MEDICI VENTURES, L.P.</w:t>
      </w:r>
    </w:p>
    <w:p>
      <w:pPr>
        <w:spacing w:after="0" w:line="2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 Delaware Limited Partnership)</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12" w:hanging="412"/>
        <w:spacing w:after="0"/>
        <w:tabs>
          <w:tab w:leader="none" w:pos="41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52" w:lineRule="exact"/>
        <w:rPr>
          <w:sz w:val="20"/>
          <w:szCs w:val="20"/>
          <w:color w:val="auto"/>
        </w:rPr>
      </w:pPr>
    </w:p>
    <w:p>
      <w:pPr>
        <w:ind w:left="652" w:right="20"/>
        <w:spacing w:after="0" w:line="257" w:lineRule="auto"/>
        <w:rPr>
          <w:sz w:val="20"/>
          <w:szCs w:val="20"/>
          <w:color w:val="auto"/>
        </w:rPr>
      </w:pPr>
      <w:r>
        <w:rPr>
          <w:rFonts w:ascii="Arial" w:cs="Arial" w:eastAsia="Arial" w:hAnsi="Arial"/>
          <w:sz w:val="18"/>
          <w:szCs w:val="18"/>
          <w:color w:val="auto"/>
        </w:rPr>
        <w:t>Medici Ventures, L.P. (the “Partnership”), a Delaware limited partnership, commenced operations on April 23, 2021, under the laws of the State of Delaware. The Partnership is managed by Pelion MV GP, L.L.C. (the “General Partner”). The Partnership will continue until April 23, 2029, unless terminated earlier or extended under the terms of the Limited Partnership Agreement of the Partnership. The Limited Partnership Agreement was executed on April 23, 2021 (the “Formation Date”). The First Amendment to the agreement was executed on August 30, 2021, and a Clarifying Letter was executed on February 1, 2023 (with the agreement, the amendment, and the related Clarifying Letter hereinafter referred to as the “Agreement”).</w:t>
      </w:r>
    </w:p>
    <w:p>
      <w:pPr>
        <w:spacing w:after="0" w:line="209" w:lineRule="exact"/>
        <w:rPr>
          <w:sz w:val="20"/>
          <w:szCs w:val="20"/>
          <w:color w:val="auto"/>
        </w:rPr>
      </w:pPr>
    </w:p>
    <w:p>
      <w:pPr>
        <w:ind w:left="652"/>
        <w:spacing w:after="0" w:line="257" w:lineRule="auto"/>
        <w:rPr>
          <w:sz w:val="20"/>
          <w:szCs w:val="20"/>
          <w:color w:val="auto"/>
        </w:rPr>
      </w:pPr>
      <w:r>
        <w:rPr>
          <w:rFonts w:ascii="Arial" w:cs="Arial" w:eastAsia="Arial" w:hAnsi="Arial"/>
          <w:sz w:val="18"/>
          <w:szCs w:val="18"/>
          <w:color w:val="auto"/>
        </w:rPr>
        <w:t>The Partnership was previously a corporation, Medici Ventures, Inc., that was wholly owned by Overstock.com, Inc., and held several investments in blockchain-focused companies working to introduce blockchain technology to various industries including identity, land governance, money and banking, capital markets, supply chain, agriculture, and voting. On the Formation Date, Overstock Inc. entered into an agreement with the General Partner to convert Medici Ventures, Inc. into a limited partnership with Overstock.com, Inc., which is now Beyond, Inc., (the “Limited Partner”) being the sole limited partner of the Partnership and to transfer a 1% partnership interest to the General Partner of the Partnership (the “Transaction”).</w:t>
      </w:r>
    </w:p>
    <w:p>
      <w:pPr>
        <w:spacing w:after="0" w:line="209" w:lineRule="exact"/>
        <w:rPr>
          <w:sz w:val="20"/>
          <w:szCs w:val="20"/>
          <w:color w:val="auto"/>
        </w:rPr>
      </w:pPr>
    </w:p>
    <w:p>
      <w:pPr>
        <w:ind w:left="652" w:right="120"/>
        <w:spacing w:after="0" w:line="262" w:lineRule="auto"/>
        <w:rPr>
          <w:sz w:val="20"/>
          <w:szCs w:val="20"/>
          <w:color w:val="auto"/>
        </w:rPr>
      </w:pPr>
      <w:r>
        <w:rPr>
          <w:rFonts w:ascii="Arial" w:cs="Arial" w:eastAsia="Arial" w:hAnsi="Arial"/>
          <w:sz w:val="18"/>
          <w:szCs w:val="18"/>
          <w:color w:val="auto"/>
        </w:rPr>
        <w:t>The Transaction resulted in a change in control event as the sole authority and responsibility regarding the Partnership’s investment decisions and rights the Partnership holds in the portfolio companies were transferred to the General Partner. Therefore, although the Partnership was converted from a previously existing corporation, the Partnership is being treated for financial accounting purposes as having commenced operations as a new investment company beginning April 23, 2021.</w:t>
      </w:r>
    </w:p>
    <w:p>
      <w:pPr>
        <w:spacing w:after="0" w:line="203" w:lineRule="exact"/>
        <w:rPr>
          <w:sz w:val="20"/>
          <w:szCs w:val="20"/>
          <w:color w:val="auto"/>
        </w:rPr>
      </w:pPr>
    </w:p>
    <w:p>
      <w:pPr>
        <w:ind w:left="652"/>
        <w:spacing w:after="0" w:line="255" w:lineRule="auto"/>
        <w:rPr>
          <w:sz w:val="20"/>
          <w:szCs w:val="20"/>
          <w:color w:val="auto"/>
        </w:rPr>
      </w:pPr>
      <w:r>
        <w:rPr>
          <w:rFonts w:ascii="Arial" w:cs="Arial" w:eastAsia="Arial" w:hAnsi="Arial"/>
          <w:sz w:val="18"/>
          <w:szCs w:val="18"/>
          <w:color w:val="auto"/>
        </w:rPr>
        <w:t>The General Partner is responsible for the management and operation of the Partnership and the formulation of investment policy. The Partnership's primary purpose is to act as a venture capital fund, to provide the partners with the opportunity to realize significant long-term capital appreciation from holdings in the current portfolio and other portfolio companies acquired. The general purpose of the Partnership is to buy, sell, hold, and otherwise invest in securities of every kind and nature and rights and options with respect thereto, including, without limitation, stock, notes, bonds, and debentures; to exercise all rights, powers, privileges, and other incidents of ownership or possession with respect to securities held or owned by the Partnership; to enter into, make, and perform all contracts and other undertakings; to advance and promote blockchain technology; and to engage in all activities and transactions as may be necessary, advisable, or desirable to carry out the foregoing.</w:t>
      </w:r>
    </w:p>
    <w:p>
      <w:pPr>
        <w:spacing w:after="0" w:line="212" w:lineRule="exact"/>
        <w:rPr>
          <w:sz w:val="20"/>
          <w:szCs w:val="20"/>
          <w:color w:val="auto"/>
        </w:rPr>
      </w:pPr>
    </w:p>
    <w:p>
      <w:pPr>
        <w:jc w:val="both"/>
        <w:ind w:left="652" w:right="100"/>
        <w:spacing w:after="0" w:line="262" w:lineRule="auto"/>
        <w:rPr>
          <w:sz w:val="20"/>
          <w:szCs w:val="20"/>
          <w:color w:val="auto"/>
        </w:rPr>
      </w:pPr>
      <w:r>
        <w:rPr>
          <w:rFonts w:ascii="Arial" w:cs="Arial" w:eastAsia="Arial" w:hAnsi="Arial"/>
          <w:sz w:val="18"/>
          <w:szCs w:val="18"/>
          <w:color w:val="auto"/>
        </w:rPr>
        <w:t>The Agreement limits the sale of Group A and Group B portfolio companies, as defined in the Agreement, for three and two years, after the Partnership’s Formation Date, respectively. The Agreement limits the Performance Fee and carried interest allocation paid to the General Partner if the portfolio companies are sold within the restricted time period. The restricted time period for the Group B portfolio companies ended on April 23, 2023, and will end for the Group A portfolio companies on April 23, 2024.</w:t>
      </w:r>
    </w:p>
    <w:p>
      <w:pPr>
        <w:spacing w:after="0" w:line="203" w:lineRule="exact"/>
        <w:rPr>
          <w:sz w:val="20"/>
          <w:szCs w:val="20"/>
          <w:color w:val="auto"/>
        </w:rPr>
      </w:pPr>
    </w:p>
    <w:p>
      <w:pPr>
        <w:ind w:left="412" w:hanging="412"/>
        <w:spacing w:after="0"/>
        <w:tabs>
          <w:tab w:leader="none" w:pos="41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4" w:lineRule="exact"/>
        <w:rPr>
          <w:rFonts w:ascii="Arial" w:cs="Arial" w:eastAsia="Arial" w:hAnsi="Arial"/>
          <w:sz w:val="18"/>
          <w:szCs w:val="18"/>
          <w:b w:val="1"/>
          <w:bCs w:val="1"/>
          <w:color w:val="auto"/>
        </w:rPr>
      </w:pPr>
    </w:p>
    <w:p>
      <w:pPr>
        <w:ind w:left="1072" w:hanging="424"/>
        <w:spacing w:after="0"/>
        <w:tabs>
          <w:tab w:leader="none" w:pos="1072" w:val="left"/>
        </w:tabs>
        <w:numPr>
          <w:ilvl w:val="1"/>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50" w:lineRule="exact"/>
        <w:rPr>
          <w:sz w:val="20"/>
          <w:szCs w:val="20"/>
          <w:color w:val="auto"/>
        </w:rPr>
      </w:pPr>
    </w:p>
    <w:p>
      <w:pPr>
        <w:ind w:left="1292" w:right="220"/>
        <w:spacing w:after="0" w:line="259" w:lineRule="auto"/>
        <w:rPr>
          <w:sz w:val="20"/>
          <w:szCs w:val="20"/>
          <w:color w:val="auto"/>
        </w:rPr>
      </w:pPr>
      <w:r>
        <w:rPr>
          <w:rFonts w:ascii="Arial" w:cs="Arial" w:eastAsia="Arial" w:hAnsi="Arial"/>
          <w:sz w:val="18"/>
          <w:szCs w:val="18"/>
          <w:color w:val="auto"/>
        </w:rPr>
        <w:t>The accompanying financial statements are presented in conformity with U.S. generally accepted accounting principles (“U.S. GAAP”). The Partnership considered investment companies under U.S. GAAP and follow the accounting and reporting guidance applicable to investment companies in the Financial Accounting Standards Board (“FASB”) Accounting Standards Codification (“ASC”) 946, Financial Services – Investment Companies (“ASC 946”). The preparation of financial statements in</w:t>
      </w:r>
    </w:p>
    <w:p>
      <w:pPr>
        <w:sectPr>
          <w:pgSz w:w="11900" w:h="16838" w:orient="portrait"/>
          <w:cols w:equalWidth="0" w:num="1">
            <w:col w:w="11232"/>
          </w:cols>
          <w:pgMar w:left="328" w:top="121" w:right="339" w:bottom="1440" w:gutter="0" w:footer="0" w:header="0"/>
        </w:sectPr>
      </w:pPr>
    </w:p>
    <w:bookmarkStart w:id="113" w:name="page114"/>
    <w:bookmarkEnd w:id="113"/>
    <w:p>
      <w:pPr>
        <w:jc w:val="center"/>
        <w:ind w:right="636"/>
        <w:spacing w:after="0"/>
        <w:rPr>
          <w:sz w:val="20"/>
          <w:szCs w:val="20"/>
          <w:color w:val="auto"/>
        </w:rPr>
      </w:pPr>
      <w:r>
        <w:rPr>
          <w:rFonts w:ascii="Arial" w:cs="Arial" w:eastAsia="Arial" w:hAnsi="Arial"/>
          <w:sz w:val="18"/>
          <w:szCs w:val="18"/>
          <w:b w:val="1"/>
          <w:bCs w:val="1"/>
          <w:color w:val="auto"/>
        </w:rPr>
        <w:t>MEDICI VENTURES, L.P.</w:t>
      </w:r>
    </w:p>
    <w:p>
      <w:pPr>
        <w:spacing w:after="0" w:line="26" w:lineRule="exact"/>
        <w:rPr>
          <w:sz w:val="20"/>
          <w:szCs w:val="20"/>
          <w:color w:val="auto"/>
        </w:rPr>
      </w:pPr>
    </w:p>
    <w:p>
      <w:pPr>
        <w:jc w:val="center"/>
        <w:ind w:right="636"/>
        <w:spacing w:after="0"/>
        <w:rPr>
          <w:sz w:val="20"/>
          <w:szCs w:val="20"/>
          <w:color w:val="auto"/>
        </w:rPr>
      </w:pPr>
      <w:r>
        <w:rPr>
          <w:rFonts w:ascii="Arial" w:cs="Arial" w:eastAsia="Arial" w:hAnsi="Arial"/>
          <w:sz w:val="18"/>
          <w:szCs w:val="18"/>
          <w:color w:val="auto"/>
        </w:rPr>
        <w:t>(A Delaware Limited Partnership)</w:t>
      </w:r>
    </w:p>
    <w:p>
      <w:pPr>
        <w:spacing w:after="0" w:line="9" w:lineRule="exact"/>
        <w:rPr>
          <w:sz w:val="20"/>
          <w:szCs w:val="20"/>
          <w:color w:val="auto"/>
        </w:rPr>
      </w:pPr>
    </w:p>
    <w:p>
      <w:pPr>
        <w:jc w:val="center"/>
        <w:ind w:right="636"/>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636"/>
        <w:spacing w:after="0"/>
        <w:rPr>
          <w:sz w:val="20"/>
          <w:szCs w:val="20"/>
          <w:color w:val="auto"/>
        </w:rPr>
      </w:pPr>
      <w:r>
        <w:rPr>
          <w:rFonts w:ascii="Arial" w:cs="Arial" w:eastAsia="Arial" w:hAnsi="Arial"/>
          <w:sz w:val="18"/>
          <w:szCs w:val="18"/>
          <w:color w:val="auto"/>
        </w:rPr>
        <w:t>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44" w:right="280"/>
        <w:spacing w:after="0" w:line="287" w:lineRule="auto"/>
        <w:rPr>
          <w:sz w:val="20"/>
          <w:szCs w:val="20"/>
          <w:color w:val="auto"/>
        </w:rPr>
      </w:pPr>
      <w:r>
        <w:rPr>
          <w:rFonts w:ascii="Arial" w:cs="Arial" w:eastAsia="Arial" w:hAnsi="Arial"/>
          <w:sz w:val="18"/>
          <w:szCs w:val="18"/>
          <w:color w:val="auto"/>
        </w:rPr>
        <w:t>conformity with U.S. GAAP requires management to make estimates and assumptions that affect the amounts reported in the financial statements and accompanying notes.</w:t>
      </w:r>
    </w:p>
    <w:p>
      <w:pPr>
        <w:spacing w:after="0" w:line="182" w:lineRule="exact"/>
        <w:rPr>
          <w:sz w:val="20"/>
          <w:szCs w:val="20"/>
          <w:color w:val="auto"/>
        </w:rPr>
      </w:pPr>
    </w:p>
    <w:p>
      <w:pPr>
        <w:ind w:left="424" w:hanging="424"/>
        <w:spacing w:after="0"/>
        <w:tabs>
          <w:tab w:leader="none" w:pos="424"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250" w:lineRule="exact"/>
        <w:rPr>
          <w:sz w:val="20"/>
          <w:szCs w:val="20"/>
          <w:color w:val="auto"/>
        </w:rPr>
      </w:pPr>
    </w:p>
    <w:p>
      <w:pPr>
        <w:ind w:left="644" w:right="140"/>
        <w:spacing w:after="0" w:line="282" w:lineRule="auto"/>
        <w:rPr>
          <w:sz w:val="20"/>
          <w:szCs w:val="20"/>
          <w:color w:val="auto"/>
        </w:rPr>
      </w:pPr>
      <w:r>
        <w:rPr>
          <w:rFonts w:ascii="Arial" w:cs="Arial" w:eastAsia="Arial" w:hAnsi="Arial"/>
          <w:sz w:val="17"/>
          <w:szCs w:val="17"/>
          <w:color w:val="auto"/>
        </w:rPr>
        <w:t>The preparation of financial statements in conformity with the U.S. generally accepted accounting principles requires the General Partner to make estimates and assumptions in determining the reported amounts of assets and liabilities, including the fair value of investments, and disclosures of contingent assets and liabilities at the date of the financial statements and the reported amounts of income and expenses during the reporting period. Actual results could differ from those estimates.</w:t>
      </w:r>
    </w:p>
    <w:p>
      <w:pPr>
        <w:spacing w:after="0" w:line="190" w:lineRule="exact"/>
        <w:rPr>
          <w:sz w:val="20"/>
          <w:szCs w:val="20"/>
          <w:color w:val="auto"/>
        </w:rPr>
      </w:pPr>
    </w:p>
    <w:p>
      <w:pPr>
        <w:ind w:left="424" w:hanging="424"/>
        <w:spacing w:after="0"/>
        <w:tabs>
          <w:tab w:leader="none" w:pos="424"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Valuation</w:t>
      </w:r>
    </w:p>
    <w:p>
      <w:pPr>
        <w:spacing w:after="0" w:line="250" w:lineRule="exact"/>
        <w:rPr>
          <w:sz w:val="20"/>
          <w:szCs w:val="20"/>
          <w:color w:val="auto"/>
        </w:rPr>
      </w:pPr>
    </w:p>
    <w:p>
      <w:pPr>
        <w:ind w:left="644"/>
        <w:spacing w:after="0" w:line="259" w:lineRule="auto"/>
        <w:rPr>
          <w:sz w:val="20"/>
          <w:szCs w:val="20"/>
          <w:color w:val="auto"/>
        </w:rPr>
      </w:pPr>
      <w:r>
        <w:rPr>
          <w:rFonts w:ascii="Arial" w:cs="Arial" w:eastAsia="Arial" w:hAnsi="Arial"/>
          <w:sz w:val="18"/>
          <w:szCs w:val="18"/>
          <w:color w:val="auto"/>
        </w:rPr>
        <w:t>The Partnership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Observable inputs reflect market data obtained from independent sources, while unobservable inputs reflect the Partnership’s market assumptions. These two types of inputs create the following hierarchy:</w:t>
      </w:r>
    </w:p>
    <w:p>
      <w:pPr>
        <w:spacing w:after="0" w:line="206" w:lineRule="exact"/>
        <w:rPr>
          <w:sz w:val="20"/>
          <w:szCs w:val="20"/>
          <w:color w:val="auto"/>
        </w:rPr>
      </w:pPr>
    </w:p>
    <w:p>
      <w:pPr>
        <w:ind w:left="964" w:hanging="316"/>
        <w:spacing w:after="0"/>
        <w:tabs>
          <w:tab w:leader="none" w:pos="964"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securities</w:t>
      </w:r>
    </w:p>
    <w:p>
      <w:pPr>
        <w:spacing w:after="0" w:line="27" w:lineRule="exact"/>
        <w:rPr>
          <w:rFonts w:ascii="Arial" w:cs="Arial" w:eastAsia="Arial" w:hAnsi="Arial"/>
          <w:sz w:val="18"/>
          <w:szCs w:val="18"/>
          <w:color w:val="auto"/>
        </w:rPr>
      </w:pPr>
    </w:p>
    <w:p>
      <w:pPr>
        <w:ind w:left="964" w:hanging="316"/>
        <w:spacing w:after="0"/>
        <w:tabs>
          <w:tab w:leader="none" w:pos="964"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Level 2 – other significant observable inputs (including quoted prices for similar securities, interest rates, credit risk, etc.)</w:t>
      </w:r>
    </w:p>
    <w:p>
      <w:pPr>
        <w:spacing w:after="0" w:line="9" w:lineRule="exact"/>
        <w:rPr>
          <w:rFonts w:ascii="Arial" w:cs="Arial" w:eastAsia="Arial" w:hAnsi="Arial"/>
          <w:sz w:val="18"/>
          <w:szCs w:val="18"/>
          <w:color w:val="auto"/>
        </w:rPr>
      </w:pPr>
    </w:p>
    <w:p>
      <w:pPr>
        <w:ind w:left="964" w:right="260" w:hanging="316"/>
        <w:spacing w:after="0" w:line="266" w:lineRule="auto"/>
        <w:tabs>
          <w:tab w:leader="none" w:pos="959"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Level 3 – significant unobservable inputs (including the Partnership’s own assumptions in determining the fair value of investments)</w:t>
      </w:r>
    </w:p>
    <w:p>
      <w:pPr>
        <w:spacing w:after="0" w:line="198" w:lineRule="exact"/>
        <w:rPr>
          <w:sz w:val="20"/>
          <w:szCs w:val="20"/>
          <w:color w:val="auto"/>
        </w:rPr>
      </w:pPr>
    </w:p>
    <w:p>
      <w:pPr>
        <w:ind w:left="644" w:right="120"/>
        <w:spacing w:after="0" w:line="256" w:lineRule="auto"/>
        <w:rPr>
          <w:sz w:val="20"/>
          <w:szCs w:val="20"/>
          <w:color w:val="auto"/>
        </w:rPr>
      </w:pPr>
      <w:r>
        <w:rPr>
          <w:rFonts w:ascii="Arial" w:cs="Arial" w:eastAsia="Arial" w:hAnsi="Arial"/>
          <w:sz w:val="18"/>
          <w:szCs w:val="18"/>
          <w:color w:val="auto"/>
        </w:rPr>
        <w:t>The availability of valuation techniques and observable inputs can vary from investment to investment and are affected by a wide variety of factors, including the type of investment, whether the investment is new and not yet established in the marketplace, the liquidity of markets, and other characteristics particular to the transaction. To the extent that valuation is based on models or inputs that are less observable or unobservable in the market, determining fair value requires more judgment. Because of the inherent uncertainty of valuation, estimated values may be materially higher or lower than the values that would have been used had a ready market for the investments existed. Therefore, the degree of judgment exercised by the Partnership in determining fair value is greatest for investments categorized in Level 3.</w:t>
      </w:r>
    </w:p>
    <w:p>
      <w:pPr>
        <w:spacing w:after="0" w:line="210" w:lineRule="exact"/>
        <w:rPr>
          <w:sz w:val="20"/>
          <w:szCs w:val="20"/>
          <w:color w:val="auto"/>
        </w:rPr>
      </w:pPr>
    </w:p>
    <w:p>
      <w:pPr>
        <w:ind w:left="644"/>
        <w:spacing w:after="0" w:line="268"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98" w:lineRule="exact"/>
        <w:rPr>
          <w:sz w:val="20"/>
          <w:szCs w:val="20"/>
          <w:color w:val="auto"/>
        </w:rPr>
      </w:pPr>
    </w:p>
    <w:p>
      <w:pPr>
        <w:ind w:left="644"/>
        <w:spacing w:after="0"/>
        <w:rPr>
          <w:sz w:val="20"/>
          <w:szCs w:val="20"/>
          <w:color w:val="auto"/>
        </w:rPr>
      </w:pPr>
      <w:r>
        <w:rPr>
          <w:rFonts w:ascii="Arial" w:cs="Arial" w:eastAsia="Arial" w:hAnsi="Arial"/>
          <w:sz w:val="18"/>
          <w:szCs w:val="18"/>
          <w:color w:val="auto"/>
        </w:rPr>
        <w:t>Fair value - Valuation techniques and inputs</w:t>
      </w:r>
    </w:p>
    <w:p>
      <w:pPr>
        <w:spacing w:after="0" w:line="252" w:lineRule="exact"/>
        <w:rPr>
          <w:sz w:val="20"/>
          <w:szCs w:val="20"/>
          <w:color w:val="auto"/>
        </w:rPr>
      </w:pPr>
    </w:p>
    <w:p>
      <w:pPr>
        <w:ind w:left="644" w:right="240"/>
        <w:spacing w:after="0" w:line="259" w:lineRule="auto"/>
        <w:rPr>
          <w:sz w:val="20"/>
          <w:szCs w:val="20"/>
          <w:color w:val="auto"/>
        </w:rPr>
      </w:pPr>
      <w:r>
        <w:rPr>
          <w:rFonts w:ascii="Arial" w:cs="Arial" w:eastAsia="Arial" w:hAnsi="Arial"/>
          <w:sz w:val="18"/>
          <w:szCs w:val="18"/>
          <w:color w:val="auto"/>
        </w:rPr>
        <w:t>When determining fair value, the Partnership uses valuation techniques that maximize the use of observable inputs and minimize the use of unobservable inputs. The Partnership generally uses the market approach to value equity and debt investments in private operating companies. The market approach includes valuation techniques that use prices and other relevant information generated by market transactions involving identical or comparable assets, liabilities, or a group of assets and liabilities.</w:t>
      </w:r>
    </w:p>
    <w:p>
      <w:pPr>
        <w:spacing w:after="0" w:line="206" w:lineRule="exact"/>
        <w:rPr>
          <w:sz w:val="20"/>
          <w:szCs w:val="20"/>
          <w:color w:val="auto"/>
        </w:rPr>
      </w:pPr>
    </w:p>
    <w:p>
      <w:pPr>
        <w:ind w:left="644" w:right="80"/>
        <w:spacing w:after="0" w:line="268" w:lineRule="auto"/>
        <w:rPr>
          <w:sz w:val="20"/>
          <w:szCs w:val="20"/>
          <w:color w:val="auto"/>
        </w:rPr>
      </w:pPr>
      <w:r>
        <w:rPr>
          <w:rFonts w:ascii="Arial" w:cs="Arial" w:eastAsia="Arial" w:hAnsi="Arial"/>
          <w:sz w:val="18"/>
          <w:szCs w:val="18"/>
          <w:color w:val="auto"/>
        </w:rPr>
        <w:t>The market approach includes valuation techniques that use observable market data (e.g., current trading and/or acquisition multiples) of comparable companies and applying the data to key financial metrics of the investment. The comparability (as measured by size, growth profile, and</w:t>
      </w:r>
    </w:p>
    <w:p>
      <w:pPr>
        <w:sectPr>
          <w:pgSz w:w="11900" w:h="16838" w:orient="portrait"/>
          <w:cols w:equalWidth="0" w:num="1">
            <w:col w:w="10584"/>
          </w:cols>
          <w:pgMar w:left="976" w:top="121" w:right="339" w:bottom="1440" w:gutter="0" w:footer="0" w:header="0"/>
        </w:sectPr>
      </w:pPr>
    </w:p>
    <w:bookmarkStart w:id="114" w:name="page115"/>
    <w:bookmarkEnd w:id="114"/>
    <w:p>
      <w:pPr>
        <w:jc w:val="center"/>
        <w:ind w:right="516"/>
        <w:spacing w:after="0"/>
        <w:rPr>
          <w:sz w:val="20"/>
          <w:szCs w:val="20"/>
          <w:color w:val="auto"/>
        </w:rPr>
      </w:pPr>
      <w:r>
        <w:rPr>
          <w:rFonts w:ascii="Arial" w:cs="Arial" w:eastAsia="Arial" w:hAnsi="Arial"/>
          <w:sz w:val="18"/>
          <w:szCs w:val="18"/>
          <w:b w:val="1"/>
          <w:bCs w:val="1"/>
          <w:color w:val="auto"/>
        </w:rPr>
        <w:t>MEDICI VENTURES, L.P.</w:t>
      </w:r>
    </w:p>
    <w:p>
      <w:pPr>
        <w:spacing w:after="0" w:line="26"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(A Delaware Limited Partnership)</w:t>
      </w:r>
    </w:p>
    <w:p>
      <w:pPr>
        <w:spacing w:after="0" w:line="9"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44" w:right="760"/>
        <w:spacing w:after="0" w:line="287" w:lineRule="auto"/>
        <w:rPr>
          <w:sz w:val="20"/>
          <w:szCs w:val="20"/>
          <w:color w:val="auto"/>
        </w:rPr>
      </w:pPr>
      <w:r>
        <w:rPr>
          <w:rFonts w:ascii="Arial" w:cs="Arial" w:eastAsia="Arial" w:hAnsi="Arial"/>
          <w:sz w:val="18"/>
          <w:szCs w:val="18"/>
          <w:color w:val="auto"/>
        </w:rPr>
        <w:t>geographic concentration, among other factors) of the identified set of comparable companies to the investment is considered in applying the market approach.</w:t>
      </w:r>
    </w:p>
    <w:p>
      <w:pPr>
        <w:spacing w:after="0" w:line="180" w:lineRule="exact"/>
        <w:rPr>
          <w:sz w:val="20"/>
          <w:szCs w:val="20"/>
          <w:color w:val="auto"/>
        </w:rPr>
      </w:pPr>
    </w:p>
    <w:p>
      <w:pPr>
        <w:ind w:left="644" w:right="160"/>
        <w:spacing w:after="0" w:line="287" w:lineRule="auto"/>
        <w:rPr>
          <w:sz w:val="20"/>
          <w:szCs w:val="20"/>
          <w:color w:val="auto"/>
        </w:rPr>
      </w:pPr>
      <w:r>
        <w:rPr>
          <w:rFonts w:ascii="Arial" w:cs="Arial" w:eastAsia="Arial" w:hAnsi="Arial"/>
          <w:sz w:val="18"/>
          <w:szCs w:val="18"/>
          <w:color w:val="auto"/>
        </w:rPr>
        <w:t>Marketable equity securities: The Partnership values equity securities that are traded on a national securities exchange at their last reported sales price.</w:t>
      </w:r>
    </w:p>
    <w:p>
      <w:pPr>
        <w:spacing w:after="0" w:line="180" w:lineRule="exact"/>
        <w:rPr>
          <w:sz w:val="20"/>
          <w:szCs w:val="20"/>
          <w:color w:val="auto"/>
        </w:rPr>
      </w:pPr>
    </w:p>
    <w:p>
      <w:pPr>
        <w:ind w:left="644"/>
        <w:spacing w:after="0"/>
        <w:rPr>
          <w:sz w:val="20"/>
          <w:szCs w:val="20"/>
          <w:color w:val="auto"/>
        </w:rPr>
      </w:pPr>
      <w:r>
        <w:rPr>
          <w:rFonts w:ascii="Arial" w:cs="Arial" w:eastAsia="Arial" w:hAnsi="Arial"/>
          <w:sz w:val="18"/>
          <w:szCs w:val="18"/>
          <w:color w:val="auto"/>
        </w:rPr>
        <w:t>Private operating companies</w:t>
      </w:r>
    </w:p>
    <w:p>
      <w:pPr>
        <w:spacing w:after="0" w:line="252" w:lineRule="exact"/>
        <w:rPr>
          <w:sz w:val="20"/>
          <w:szCs w:val="20"/>
          <w:color w:val="auto"/>
        </w:rPr>
      </w:pPr>
    </w:p>
    <w:p>
      <w:pPr>
        <w:ind w:left="644" w:right="40"/>
        <w:spacing w:after="0" w:line="256" w:lineRule="auto"/>
        <w:rPr>
          <w:sz w:val="20"/>
          <w:szCs w:val="20"/>
          <w:color w:val="auto"/>
        </w:rPr>
      </w:pPr>
      <w:r>
        <w:rPr>
          <w:rFonts w:ascii="Arial" w:cs="Arial" w:eastAsia="Arial" w:hAnsi="Arial"/>
          <w:sz w:val="18"/>
          <w:szCs w:val="18"/>
          <w:color w:val="auto"/>
        </w:rPr>
        <w:t>Investments in private operating companies may consist of common stock, preferred stock, and debt of privately owned portfolio companies. The transaction price, excluding transaction costs, is typically the Partnership’s best estimate of fair value at acquisition. At each subsequent measurement date, the Partnership reviews the valuation of each investment and records adjustments as necessary to reflect the expected exit value of the investment under current market conditions. Ongoing reviews by the Partnership’s management are based on an assessment of the type of investment, the stage in the lifecycle of the portfolio company, and trends in the performance and credit profile of each portfolio company as of the measurement date.</w:t>
      </w:r>
    </w:p>
    <w:p>
      <w:pPr>
        <w:spacing w:after="0" w:line="210" w:lineRule="exact"/>
        <w:rPr>
          <w:sz w:val="20"/>
          <w:szCs w:val="20"/>
          <w:color w:val="auto"/>
        </w:rPr>
      </w:pPr>
    </w:p>
    <w:p>
      <w:pPr>
        <w:ind w:left="644" w:right="20"/>
        <w:spacing w:after="0" w:line="254" w:lineRule="auto"/>
        <w:rPr>
          <w:sz w:val="20"/>
          <w:szCs w:val="20"/>
          <w:color w:val="auto"/>
        </w:rPr>
      </w:pPr>
      <w:r>
        <w:rPr>
          <w:rFonts w:ascii="Arial" w:cs="Arial" w:eastAsia="Arial" w:hAnsi="Arial"/>
          <w:sz w:val="18"/>
          <w:szCs w:val="18"/>
          <w:color w:val="auto"/>
        </w:rPr>
        <w:t>The Partnership uses an independent valuation service firm to value certain private operating companies. In certain instances, the Partnership may use multiple valuation approaches for a particular investment and estimate its fair value based on a weighted average or a selected outcome within a range of multiple valuation results. The decision to use a valuation approach will depend on the investment type and the information available. When applying valuation techniques used to determine fair value, the Partnership assumes a reasonable period of time for estimating cash flows and considers the financial condition and operating results of the portfolio company, the nature of the investment, restrictions on marketability, market conditions, foreign currency exposures, and other factors. When determining the fair value of investments, the Partnership exercises significant judgment and uses the best information available as of the measurement date. Due to the inherent uncertainty of valuations, the fair values reflected in the financial statements as of the measurement date may differ from (1) values that would have been used had a readily available market existed for those investments and (2) the values that may ultimately be realized.</w:t>
      </w:r>
    </w:p>
    <w:p>
      <w:pPr>
        <w:spacing w:after="0" w:line="209" w:lineRule="exact"/>
        <w:rPr>
          <w:sz w:val="20"/>
          <w:szCs w:val="20"/>
          <w:color w:val="auto"/>
        </w:rPr>
      </w:pPr>
    </w:p>
    <w:p>
      <w:pPr>
        <w:ind w:left="644" w:right="60"/>
        <w:spacing w:after="0" w:line="256" w:lineRule="auto"/>
        <w:rPr>
          <w:sz w:val="20"/>
          <w:szCs w:val="20"/>
          <w:color w:val="auto"/>
        </w:rPr>
      </w:pPr>
      <w:r>
        <w:rPr>
          <w:rFonts w:ascii="Arial" w:cs="Arial" w:eastAsia="Arial" w:hAnsi="Arial"/>
          <w:sz w:val="18"/>
          <w:szCs w:val="18"/>
          <w:color w:val="auto"/>
        </w:rPr>
        <w:t>Inputs used under a market approach may include valuation multiples applied to corresponding performance metrics, such as earnings before interest, taxes, depreciation, and amortization (EBITDA); revenue; or net forecasted earnings. The selected valuation multiples were estimated through a comparative analysis of the performance and characteristics of each investment within a range of comparable companies or transactions in the observable marketplace. In addition, recent merger and acquisition transactions of comparable companies may be used as a basis to develop implied valuation multiples. Investment valuations using the market approach may also consider factors such as liquidity, credit, and market risk factors of the portfolio company.</w:t>
      </w:r>
    </w:p>
    <w:p>
      <w:pPr>
        <w:spacing w:after="0" w:line="210" w:lineRule="exact"/>
        <w:rPr>
          <w:sz w:val="20"/>
          <w:szCs w:val="20"/>
          <w:color w:val="auto"/>
        </w:rPr>
      </w:pPr>
    </w:p>
    <w:p>
      <w:pPr>
        <w:ind w:left="644"/>
        <w:spacing w:after="0" w:line="259" w:lineRule="auto"/>
        <w:rPr>
          <w:sz w:val="20"/>
          <w:szCs w:val="20"/>
          <w:color w:val="auto"/>
        </w:rPr>
      </w:pPr>
      <w:r>
        <w:rPr>
          <w:rFonts w:ascii="Arial" w:cs="Arial" w:eastAsia="Arial" w:hAnsi="Arial"/>
          <w:sz w:val="18"/>
          <w:szCs w:val="18"/>
          <w:color w:val="auto"/>
        </w:rPr>
        <w:t>The option pricing model which could be used to allocate the enterprise value of a portfolio company at each share class level, if necessary, treats a portfolio company’s common stock and preferred stock as call options on the equity value of the portfolio company, with exercise or strike prices based on the characteristics of each series or class of equity in the portfolio company’s capital structure (e.g., the liquidation preference of a given series of preferred stock). This method is sensitive to certain key assumptions, such as volatility and time to exit, that are not observable.</w:t>
      </w:r>
    </w:p>
    <w:p>
      <w:pPr>
        <w:spacing w:after="0" w:line="208" w:lineRule="exact"/>
        <w:rPr>
          <w:sz w:val="20"/>
          <w:szCs w:val="20"/>
          <w:color w:val="auto"/>
        </w:rPr>
      </w:pPr>
    </w:p>
    <w:p>
      <w:pPr>
        <w:ind w:left="424" w:hanging="424"/>
        <w:spacing w:after="0"/>
        <w:tabs>
          <w:tab w:leader="none" w:pos="424" w:val="left"/>
        </w:tabs>
        <w:numPr>
          <w:ilvl w:val="0"/>
          <w:numId w:val="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w:t>
      </w:r>
    </w:p>
    <w:p>
      <w:pPr>
        <w:spacing w:after="0" w:line="250" w:lineRule="exact"/>
        <w:rPr>
          <w:sz w:val="20"/>
          <w:szCs w:val="20"/>
          <w:color w:val="auto"/>
        </w:rPr>
      </w:pPr>
    </w:p>
    <w:p>
      <w:pPr>
        <w:ind w:left="644" w:right="80"/>
        <w:spacing w:after="0" w:line="262" w:lineRule="auto"/>
        <w:rPr>
          <w:sz w:val="20"/>
          <w:szCs w:val="20"/>
          <w:color w:val="auto"/>
        </w:rPr>
      </w:pPr>
      <w:r>
        <w:rPr>
          <w:rFonts w:ascii="Arial" w:cs="Arial" w:eastAsia="Arial" w:hAnsi="Arial"/>
          <w:sz w:val="18"/>
          <w:szCs w:val="18"/>
          <w:color w:val="auto"/>
        </w:rPr>
        <w:t>Cash consists of cash held in a preferred deposit for business and checking accounts. The Partnership maintains a portion of its cash in FDIC-insured bank deposit accounts which, at times, may exceed federally insured limits. To date, the Partnership has not experienced any losses in such accounts. Based on the size and strength of the banking institutions used, the Partnership</w:t>
      </w:r>
    </w:p>
    <w:p>
      <w:pPr>
        <w:sectPr>
          <w:pgSz w:w="11900" w:h="16838" w:orient="portrait"/>
          <w:cols w:equalWidth="0" w:num="1">
            <w:col w:w="10464"/>
          </w:cols>
          <w:pgMar w:left="976" w:top="121" w:right="459" w:bottom="1440" w:gutter="0" w:footer="0" w:header="0"/>
        </w:sectPr>
      </w:pPr>
    </w:p>
    <w:bookmarkStart w:id="115" w:name="page116"/>
    <w:bookmarkEnd w:id="115"/>
    <w:p>
      <w:pPr>
        <w:jc w:val="center"/>
        <w:ind w:right="536"/>
        <w:spacing w:after="0"/>
        <w:rPr>
          <w:sz w:val="20"/>
          <w:szCs w:val="20"/>
          <w:color w:val="auto"/>
        </w:rPr>
      </w:pPr>
      <w:r>
        <w:rPr>
          <w:rFonts w:ascii="Arial" w:cs="Arial" w:eastAsia="Arial" w:hAnsi="Arial"/>
          <w:sz w:val="18"/>
          <w:szCs w:val="18"/>
          <w:b w:val="1"/>
          <w:bCs w:val="1"/>
          <w:color w:val="auto"/>
        </w:rPr>
        <w:t>MEDICI VENTURES, L.P.</w:t>
      </w:r>
    </w:p>
    <w:p>
      <w:pPr>
        <w:spacing w:after="0" w:line="26" w:lineRule="exact"/>
        <w:rPr>
          <w:sz w:val="20"/>
          <w:szCs w:val="20"/>
          <w:color w:val="auto"/>
        </w:rPr>
      </w:pPr>
    </w:p>
    <w:p>
      <w:pPr>
        <w:jc w:val="center"/>
        <w:ind w:right="536"/>
        <w:spacing w:after="0"/>
        <w:rPr>
          <w:sz w:val="20"/>
          <w:szCs w:val="20"/>
          <w:color w:val="auto"/>
        </w:rPr>
      </w:pPr>
      <w:r>
        <w:rPr>
          <w:rFonts w:ascii="Arial" w:cs="Arial" w:eastAsia="Arial" w:hAnsi="Arial"/>
          <w:sz w:val="18"/>
          <w:szCs w:val="18"/>
          <w:color w:val="auto"/>
        </w:rPr>
        <w:t>(A Delaware Limited Partnership)</w:t>
      </w:r>
    </w:p>
    <w:p>
      <w:pPr>
        <w:spacing w:after="0" w:line="9" w:lineRule="exact"/>
        <w:rPr>
          <w:sz w:val="20"/>
          <w:szCs w:val="20"/>
          <w:color w:val="auto"/>
        </w:rPr>
      </w:pPr>
    </w:p>
    <w:p>
      <w:pPr>
        <w:jc w:val="center"/>
        <w:ind w:right="536"/>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536"/>
        <w:spacing w:after="0"/>
        <w:rPr>
          <w:sz w:val="20"/>
          <w:szCs w:val="20"/>
          <w:color w:val="auto"/>
        </w:rPr>
      </w:pPr>
      <w:r>
        <w:rPr>
          <w:rFonts w:ascii="Arial" w:cs="Arial" w:eastAsia="Arial" w:hAnsi="Arial"/>
          <w:sz w:val="18"/>
          <w:szCs w:val="18"/>
          <w:color w:val="auto"/>
        </w:rPr>
        <w:t>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44"/>
        <w:spacing w:after="0" w:line="287" w:lineRule="auto"/>
        <w:rPr>
          <w:sz w:val="20"/>
          <w:szCs w:val="20"/>
          <w:color w:val="auto"/>
        </w:rPr>
      </w:pPr>
      <w:r>
        <w:rPr>
          <w:rFonts w:ascii="Arial" w:cs="Arial" w:eastAsia="Arial" w:hAnsi="Arial"/>
          <w:sz w:val="18"/>
          <w:szCs w:val="18"/>
          <w:color w:val="auto"/>
        </w:rPr>
        <w:t>does not believe it is exposed to any significant credit risks on cash. There are no cash equivalents on September 30, 2023, nor is any cash subject to restrictions on its use.</w:t>
      </w:r>
    </w:p>
    <w:p>
      <w:pPr>
        <w:spacing w:after="0" w:line="182" w:lineRule="exact"/>
        <w:rPr>
          <w:sz w:val="20"/>
          <w:szCs w:val="20"/>
          <w:color w:val="auto"/>
        </w:rPr>
      </w:pPr>
    </w:p>
    <w:p>
      <w:pPr>
        <w:ind w:left="424" w:hanging="424"/>
        <w:spacing w:after="0"/>
        <w:tabs>
          <w:tab w:leader="none" w:pos="424"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50" w:lineRule="exact"/>
        <w:rPr>
          <w:sz w:val="20"/>
          <w:szCs w:val="20"/>
          <w:color w:val="auto"/>
        </w:rPr>
      </w:pPr>
    </w:p>
    <w:p>
      <w:pPr>
        <w:ind w:left="644" w:right="40"/>
        <w:spacing w:after="0" w:line="259" w:lineRule="auto"/>
        <w:rPr>
          <w:sz w:val="20"/>
          <w:szCs w:val="20"/>
          <w:color w:val="auto"/>
        </w:rPr>
      </w:pPr>
      <w:r>
        <w:rPr>
          <w:rFonts w:ascii="Arial" w:cs="Arial" w:eastAsia="Arial" w:hAnsi="Arial"/>
          <w:sz w:val="18"/>
          <w:szCs w:val="18"/>
          <w:color w:val="auto"/>
        </w:rPr>
        <w:t>The Partnership does not record a provision for U.S. federal, state, or local income taxes, because partners report their share of the Partnership's income or loss on their income tax returns; accordingly, no provision for income taxes is made in the accompanying financial statements. The tax rules governing the reporting of annual tax information to the partners may not follow the financial accounting policies used in preparing financial statements for the Partnership in accordance with the U.S. generally accepted accounting principles.</w:t>
      </w:r>
    </w:p>
    <w:p>
      <w:pPr>
        <w:spacing w:after="0" w:line="206" w:lineRule="exact"/>
        <w:rPr>
          <w:sz w:val="20"/>
          <w:szCs w:val="20"/>
          <w:color w:val="auto"/>
        </w:rPr>
      </w:pPr>
    </w:p>
    <w:p>
      <w:pPr>
        <w:ind w:left="644" w:right="140"/>
        <w:spacing w:after="0" w:line="257" w:lineRule="auto"/>
        <w:rPr>
          <w:sz w:val="20"/>
          <w:szCs w:val="20"/>
          <w:color w:val="auto"/>
        </w:rPr>
      </w:pPr>
      <w:r>
        <w:rPr>
          <w:rFonts w:ascii="Arial" w:cs="Arial" w:eastAsia="Arial" w:hAnsi="Arial"/>
          <w:sz w:val="18"/>
          <w:szCs w:val="18"/>
          <w:color w:val="auto"/>
        </w:rPr>
        <w:t>The authoritative guidance on accounting for and disclosure of uncertainty in tax positions requires the General Partner to determine whether a tax position of the Partnership is more likely than not to be sustained upon examination, including resolution of any related appeals or litigation processes, based on the technical merits of the position. For tax positions meeting the more likely than not threshold, the tax amount recognized in the financial statements is reduced by the largest benefit that has a greater than fifty percent likelihood of being realized upon ultimate settlement with the relevant taxing authority.</w:t>
      </w:r>
    </w:p>
    <w:p>
      <w:pPr>
        <w:spacing w:after="0" w:line="209" w:lineRule="exact"/>
        <w:rPr>
          <w:sz w:val="20"/>
          <w:szCs w:val="20"/>
          <w:color w:val="auto"/>
        </w:rPr>
      </w:pPr>
    </w:p>
    <w:p>
      <w:pPr>
        <w:ind w:left="644"/>
        <w:spacing w:after="0" w:line="259" w:lineRule="auto"/>
        <w:rPr>
          <w:sz w:val="20"/>
          <w:szCs w:val="20"/>
          <w:color w:val="auto"/>
        </w:rPr>
      </w:pPr>
      <w:r>
        <w:rPr>
          <w:rFonts w:ascii="Arial" w:cs="Arial" w:eastAsia="Arial" w:hAnsi="Arial"/>
          <w:sz w:val="18"/>
          <w:szCs w:val="18"/>
          <w:color w:val="auto"/>
        </w:rPr>
        <w:t>The Partnership has determined that there is no tax liability resulting from unrecognized tax benefits related to uncertain income tax positions taken or expected to be taken on the tax return to be filed for the year ending December 31, 2023. The Partnership’s policy is to record penalties and interest as incurred in income tax expense. No income tax returns are currently under examination. The statute of limitations on the Partnership’s state and local tax returns may remain open for an additional year depending on the jurisdiction.</w:t>
      </w:r>
    </w:p>
    <w:p>
      <w:pPr>
        <w:spacing w:after="0" w:line="208" w:lineRule="exact"/>
        <w:rPr>
          <w:sz w:val="20"/>
          <w:szCs w:val="20"/>
          <w:color w:val="auto"/>
        </w:rPr>
      </w:pPr>
    </w:p>
    <w:p>
      <w:pPr>
        <w:ind w:left="384" w:hanging="384"/>
        <w:spacing w:after="0"/>
        <w:tabs>
          <w:tab w:leader="none" w:pos="384"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Interest Income</w:t>
      </w:r>
    </w:p>
    <w:p>
      <w:pPr>
        <w:spacing w:after="0" w:line="250" w:lineRule="exact"/>
        <w:rPr>
          <w:sz w:val="20"/>
          <w:szCs w:val="20"/>
          <w:color w:val="auto"/>
        </w:rPr>
      </w:pPr>
    </w:p>
    <w:p>
      <w:pPr>
        <w:ind w:left="644" w:right="980"/>
        <w:spacing w:after="0" w:line="287" w:lineRule="auto"/>
        <w:rPr>
          <w:sz w:val="20"/>
          <w:szCs w:val="20"/>
          <w:color w:val="auto"/>
        </w:rPr>
      </w:pPr>
      <w:r>
        <w:rPr>
          <w:rFonts w:ascii="Arial" w:cs="Arial" w:eastAsia="Arial" w:hAnsi="Arial"/>
          <w:sz w:val="18"/>
          <w:szCs w:val="18"/>
          <w:color w:val="auto"/>
        </w:rPr>
        <w:t>Investment interest income is recorded on an accrual basis. Accrual of interest ceases when, in the judgment of management, the collectability of such income is not reasonably assured.</w:t>
      </w:r>
    </w:p>
    <w:p>
      <w:pPr>
        <w:spacing w:after="0" w:line="182" w:lineRule="exact"/>
        <w:rPr>
          <w:sz w:val="20"/>
          <w:szCs w:val="20"/>
          <w:color w:val="auto"/>
        </w:rPr>
      </w:pPr>
    </w:p>
    <w:p>
      <w:pPr>
        <w:ind w:left="424" w:hanging="424"/>
        <w:spacing w:after="0"/>
        <w:tabs>
          <w:tab w:leader="none" w:pos="424"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Realized Gain (Loss) on Investments and Change in Unrealized Appreciation (Depreciation) on Investments</w:t>
      </w:r>
    </w:p>
    <w:p>
      <w:pPr>
        <w:spacing w:after="0" w:line="250" w:lineRule="exact"/>
        <w:rPr>
          <w:sz w:val="20"/>
          <w:szCs w:val="20"/>
          <w:color w:val="auto"/>
        </w:rPr>
      </w:pPr>
    </w:p>
    <w:p>
      <w:pPr>
        <w:ind w:left="644" w:right="60"/>
        <w:spacing w:after="0" w:line="259" w:lineRule="auto"/>
        <w:rPr>
          <w:sz w:val="20"/>
          <w:szCs w:val="20"/>
          <w:color w:val="auto"/>
        </w:rPr>
      </w:pPr>
      <w:r>
        <w:rPr>
          <w:rFonts w:ascii="Arial" w:cs="Arial" w:eastAsia="Arial" w:hAnsi="Arial"/>
          <w:sz w:val="18"/>
          <w:szCs w:val="18"/>
          <w:color w:val="auto"/>
        </w:rPr>
        <w:t>Realized gains or losses on investments represent the difference between the original cost of the investment and the fair value of the investment at the sale or distribution date. Realized gains or losses on security transactions are determined on the basis of specific identification. The change in unrealized appreciation or depreciation on investments represents the change between the original cost of the investment and the fair value of the investment for the period. Security transactions are accounted for on the date the securities are purchased or sold (trade date).</w:t>
      </w:r>
    </w:p>
    <w:p>
      <w:pPr>
        <w:sectPr>
          <w:pgSz w:w="11900" w:h="16838" w:orient="portrait"/>
          <w:cols w:equalWidth="0" w:num="1">
            <w:col w:w="10484"/>
          </w:cols>
          <w:pgMar w:left="976" w:top="121" w:right="439" w:bottom="1440" w:gutter="0" w:footer="0" w:header="0"/>
        </w:sectPr>
      </w:pPr>
    </w:p>
    <w:bookmarkStart w:id="116" w:name="page117"/>
    <w:bookmarkEnd w:id="116"/>
    <w:p>
      <w:pPr>
        <w:jc w:val="center"/>
        <w:ind w:right="-111"/>
        <w:spacing w:after="0"/>
        <w:rPr>
          <w:sz w:val="20"/>
          <w:szCs w:val="20"/>
          <w:color w:val="auto"/>
        </w:rPr>
      </w:pPr>
      <w:r>
        <w:rPr>
          <w:rFonts w:ascii="Arial" w:cs="Arial" w:eastAsia="Arial" w:hAnsi="Arial"/>
          <w:sz w:val="18"/>
          <w:szCs w:val="18"/>
          <w:b w:val="1"/>
          <w:bCs w:val="1"/>
          <w:color w:val="auto"/>
        </w:rPr>
        <w:t>MEDICI VENTURES, L.P.</w:t>
      </w:r>
    </w:p>
    <w:p>
      <w:pPr>
        <w:spacing w:after="0" w:line="26"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(A Delaware Limited Partnership)</w:t>
      </w:r>
    </w:p>
    <w:p>
      <w:pPr>
        <w:spacing w:after="0" w:line="9"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12" w:hanging="412"/>
        <w:spacing w:after="0"/>
        <w:tabs>
          <w:tab w:leader="none" w:pos="412"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2" w:lineRule="exact"/>
        <w:rPr>
          <w:sz w:val="20"/>
          <w:szCs w:val="20"/>
          <w:color w:val="auto"/>
        </w:rPr>
      </w:pPr>
    </w:p>
    <w:p>
      <w:pPr>
        <w:ind w:left="652" w:right="520"/>
        <w:spacing w:after="0" w:line="268" w:lineRule="auto"/>
        <w:rPr>
          <w:sz w:val="20"/>
          <w:szCs w:val="20"/>
          <w:color w:val="auto"/>
        </w:rPr>
      </w:pPr>
      <w:r>
        <w:rPr>
          <w:rFonts w:ascii="Arial" w:cs="Arial" w:eastAsia="Arial" w:hAnsi="Arial"/>
          <w:sz w:val="18"/>
          <w:szCs w:val="18"/>
          <w:color w:val="auto"/>
        </w:rPr>
        <w:t>The Partnership’s assets recorded at fair value have been categorized based on a fair value hierarchy as described in the Partnership’s significant accounting policies in note 2. The following table presents information about the Partnership’s assets measured at fair value as of September 30, 2023:</w:t>
      </w:r>
    </w:p>
    <w:tbl>
      <w:tblPr>
        <w:tblLayout w:type="fixed"/>
        <w:tblInd w:w="1502" w:type="dxa"/>
        <w:tblCellMar>
          <w:top w:w="0" w:type="dxa"/>
          <w:left w:w="0" w:type="dxa"/>
          <w:bottom w:w="0" w:type="dxa"/>
          <w:right w:w="0" w:type="dxa"/>
        </w:tblCellMar>
      </w:tblPr>
      <w:tr>
        <w:trPr>
          <w:trHeight w:val="183"/>
        </w:trPr>
        <w:tc>
          <w:tcPr>
            <w:tcW w:w="3040" w:type="dxa"/>
            <w:vAlign w:val="bottom"/>
            <w:tcBorders>
              <w:top w:val="single" w:sz="8" w:color="auto"/>
              <w:left w:val="single" w:sz="8" w:color="auto"/>
            </w:tcBorders>
            <w:vMerge w:val="restart"/>
          </w:tcPr>
          <w:p>
            <w:pPr>
              <w:ind w:left="200"/>
              <w:spacing w:after="0"/>
              <w:rPr>
                <w:sz w:val="20"/>
                <w:szCs w:val="20"/>
                <w:color w:val="auto"/>
              </w:rPr>
            </w:pPr>
            <w:r>
              <w:rPr>
                <w:rFonts w:ascii="Arial" w:cs="Arial" w:eastAsia="Arial" w:hAnsi="Arial"/>
                <w:sz w:val="18"/>
                <w:szCs w:val="18"/>
                <w:b w:val="1"/>
                <w:bCs w:val="1"/>
                <w:color w:val="auto"/>
              </w:rPr>
              <w:t>Investments, at fair value</w:t>
            </w:r>
          </w:p>
        </w:tc>
        <w:tc>
          <w:tcPr>
            <w:tcW w:w="3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3"/>
          </w:tcPr>
          <w:p>
            <w:pPr>
              <w:ind w:left="400"/>
              <w:spacing w:after="0" w:line="183" w:lineRule="exact"/>
              <w:rPr>
                <w:sz w:val="20"/>
                <w:szCs w:val="20"/>
                <w:color w:val="auto"/>
              </w:rPr>
            </w:pPr>
            <w:r>
              <w:rPr>
                <w:rFonts w:ascii="Arial" w:cs="Arial" w:eastAsia="Arial" w:hAnsi="Arial"/>
                <w:sz w:val="18"/>
                <w:szCs w:val="18"/>
                <w:b w:val="1"/>
                <w:bCs w:val="1"/>
                <w:color w:val="auto"/>
              </w:rPr>
              <w:t>Level I</w:t>
            </w:r>
          </w:p>
        </w:tc>
        <w:tc>
          <w:tcPr>
            <w:tcW w:w="7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gridSpan w:val="2"/>
          </w:tcPr>
          <w:p>
            <w:pPr>
              <w:spacing w:after="0" w:line="183" w:lineRule="exact"/>
              <w:rPr>
                <w:sz w:val="20"/>
                <w:szCs w:val="20"/>
                <w:color w:val="auto"/>
              </w:rPr>
            </w:pPr>
            <w:r>
              <w:rPr>
                <w:rFonts w:ascii="Arial" w:cs="Arial" w:eastAsia="Arial" w:hAnsi="Arial"/>
                <w:sz w:val="18"/>
                <w:szCs w:val="18"/>
                <w:b w:val="1"/>
                <w:bCs w:val="1"/>
                <w:color w:val="auto"/>
              </w:rPr>
              <w:t>Level II</w:t>
            </w:r>
          </w:p>
        </w:tc>
        <w:tc>
          <w:tcPr>
            <w:tcW w:w="4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3"/>
          </w:tcPr>
          <w:p>
            <w:pPr>
              <w:jc w:val="right"/>
              <w:ind w:right="460"/>
              <w:spacing w:after="0" w:line="183" w:lineRule="exact"/>
              <w:rPr>
                <w:sz w:val="20"/>
                <w:szCs w:val="20"/>
                <w:color w:val="auto"/>
              </w:rPr>
            </w:pPr>
            <w:r>
              <w:rPr>
                <w:rFonts w:ascii="Arial" w:cs="Arial" w:eastAsia="Arial" w:hAnsi="Arial"/>
                <w:sz w:val="18"/>
                <w:szCs w:val="18"/>
                <w:b w:val="1"/>
                <w:bCs w:val="1"/>
                <w:color w:val="auto"/>
              </w:rPr>
              <w:t>Level III</w:t>
            </w:r>
          </w:p>
        </w:tc>
        <w:tc>
          <w:tcPr>
            <w:tcW w:w="380" w:type="dxa"/>
            <w:vAlign w:val="bottom"/>
            <w:tcBorders>
              <w:top w:val="single" w:sz="8" w:color="auto"/>
            </w:tcBorders>
          </w:tcPr>
          <w:p>
            <w:pPr>
              <w:spacing w:after="0"/>
              <w:rPr>
                <w:sz w:val="15"/>
                <w:szCs w:val="15"/>
                <w:color w:val="auto"/>
              </w:rPr>
            </w:pPr>
          </w:p>
        </w:tc>
        <w:tc>
          <w:tcPr>
            <w:tcW w:w="1100" w:type="dxa"/>
            <w:vAlign w:val="bottom"/>
            <w:tcBorders>
              <w:top w:val="single" w:sz="8" w:color="auto"/>
              <w:right w:val="single" w:sz="8" w:color="auto"/>
            </w:tcBorders>
            <w:gridSpan w:val="3"/>
          </w:tcPr>
          <w:p>
            <w:pPr>
              <w:spacing w:after="0" w:line="183"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5"/>
        </w:trPr>
        <w:tc>
          <w:tcPr>
            <w:tcW w:w="3040" w:type="dxa"/>
            <w:vAlign w:val="bottom"/>
            <w:tcBorders>
              <w:top w:val="single" w:sz="8" w:color="auto"/>
              <w:left w:val="single" w:sz="8" w:color="auto"/>
            </w:tcBorders>
            <w:vMerge w:val="continue"/>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Common stock</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50,269,731</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50,269,731</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Preferred stock</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48,225,838</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48,225,838</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Convertible notes</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7,913,990</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7,913,990</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Warrants</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2,272,888</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2,272,888</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SAFE</w:t>
            </w:r>
          </w:p>
        </w:tc>
        <w:tc>
          <w:tcPr>
            <w:tcW w:w="3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1,293,980</w:t>
            </w:r>
          </w:p>
        </w:tc>
        <w:tc>
          <w:tcPr>
            <w:tcW w:w="12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1,293,980</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Total investments, at fair value</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109,976,427</w:t>
            </w:r>
          </w:p>
        </w:tc>
        <w:tc>
          <w:tcPr>
            <w:tcW w:w="12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109,976,427</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3040" w:type="dxa"/>
            <w:vAlign w:val="bottom"/>
            <w:tcBorders>
              <w:left w:val="single" w:sz="8" w:color="auto"/>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Changes in Level 3 Measurements</w:t>
      </w:r>
    </w:p>
    <w:p>
      <w:pPr>
        <w:spacing w:after="0" w:line="252" w:lineRule="exact"/>
        <w:rPr>
          <w:sz w:val="20"/>
          <w:szCs w:val="20"/>
          <w:color w:val="auto"/>
        </w:rPr>
      </w:pPr>
    </w:p>
    <w:p>
      <w:pPr>
        <w:ind w:left="652" w:right="40"/>
        <w:spacing w:after="0" w:line="277" w:lineRule="auto"/>
        <w:rPr>
          <w:sz w:val="20"/>
          <w:szCs w:val="20"/>
          <w:color w:val="auto"/>
        </w:rPr>
      </w:pPr>
      <w:r>
        <w:rPr>
          <w:rFonts w:ascii="Arial" w:cs="Arial" w:eastAsia="Arial" w:hAnsi="Arial"/>
          <w:sz w:val="18"/>
          <w:szCs w:val="18"/>
          <w:color w:val="auto"/>
        </w:rPr>
        <w:t>The following table presents changes in assets classified in Level 3 of the fair value hierarchy during the year ended September 30, 2023, attributable to the following:</w:t>
      </w:r>
    </w:p>
    <w:tbl>
      <w:tblPr>
        <w:tblLayout w:type="fixed"/>
        <w:tblInd w:w="662" w:type="dxa"/>
        <w:tblCellMar>
          <w:top w:w="0" w:type="dxa"/>
          <w:left w:w="0" w:type="dxa"/>
          <w:bottom w:w="0" w:type="dxa"/>
          <w:right w:w="0" w:type="dxa"/>
        </w:tblCellMar>
      </w:tblPr>
      <w:tr>
        <w:trPr>
          <w:trHeight w:val="156"/>
        </w:trPr>
        <w:tc>
          <w:tcPr>
            <w:tcW w:w="2120" w:type="dxa"/>
            <w:vAlign w:val="bottom"/>
            <w:tcBorders>
              <w:top w:val="single" w:sz="8" w:color="auto"/>
              <w:left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Common stock</w:t>
            </w:r>
          </w:p>
        </w:tc>
        <w:tc>
          <w:tcPr>
            <w:tcW w:w="1340" w:type="dxa"/>
            <w:vAlign w:val="bottom"/>
            <w:tcBorders>
              <w:top w:val="single" w:sz="8" w:color="auto"/>
            </w:tcBorders>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rPr>
              <w:t>Preferred stock</w:t>
            </w:r>
          </w:p>
        </w:tc>
        <w:tc>
          <w:tcPr>
            <w:tcW w:w="1560" w:type="dxa"/>
            <w:vAlign w:val="bottom"/>
            <w:tcBorders>
              <w:top w:val="single" w:sz="8" w:color="auto"/>
            </w:tcBorders>
            <w:gridSpan w:val="3"/>
          </w:tcPr>
          <w:p>
            <w:pPr>
              <w:jc w:val="right"/>
              <w:ind w:right="240"/>
              <w:spacing w:after="0" w:line="155" w:lineRule="exact"/>
              <w:rPr>
                <w:sz w:val="20"/>
                <w:szCs w:val="20"/>
                <w:color w:val="auto"/>
              </w:rPr>
            </w:pPr>
            <w:r>
              <w:rPr>
                <w:rFonts w:ascii="Arial" w:cs="Arial" w:eastAsia="Arial" w:hAnsi="Arial"/>
                <w:sz w:val="14"/>
                <w:szCs w:val="14"/>
                <w:b w:val="1"/>
                <w:bCs w:val="1"/>
                <w:color w:val="auto"/>
              </w:rPr>
              <w:t>Convertible notes</w:t>
            </w:r>
          </w:p>
        </w:tc>
        <w:tc>
          <w:tcPr>
            <w:tcW w:w="74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w w:val="98"/>
              </w:rPr>
              <w:t>Warrants</w:t>
            </w:r>
          </w:p>
        </w:tc>
        <w:tc>
          <w:tcPr>
            <w:tcW w:w="5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SAFE</w:t>
            </w:r>
          </w:p>
        </w:tc>
        <w:tc>
          <w:tcPr>
            <w:tcW w:w="4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right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Total</w:t>
            </w:r>
          </w:p>
        </w:tc>
      </w:tr>
      <w:tr>
        <w:trPr>
          <w:trHeight w:val="20"/>
        </w:trPr>
        <w:tc>
          <w:tcPr>
            <w:tcW w:w="21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r>
      <w:tr>
        <w:trPr>
          <w:trHeight w:val="215"/>
        </w:trPr>
        <w:tc>
          <w:tcPr>
            <w:tcW w:w="2120" w:type="dxa"/>
            <w:vAlign w:val="bottom"/>
            <w:tcBorders>
              <w:left w:val="single" w:sz="8" w:color="auto"/>
            </w:tcBorders>
          </w:tcPr>
          <w:p>
            <w:pPr>
              <w:ind w:left="260"/>
              <w:spacing w:after="0"/>
              <w:rPr>
                <w:sz w:val="20"/>
                <w:szCs w:val="20"/>
                <w:color w:val="auto"/>
              </w:rPr>
            </w:pPr>
            <w:r>
              <w:rPr>
                <w:rFonts w:ascii="Arial" w:cs="Arial" w:eastAsia="Arial" w:hAnsi="Arial"/>
                <w:sz w:val="14"/>
                <w:szCs w:val="14"/>
                <w:color w:val="auto"/>
              </w:rPr>
              <w:t>Purchases</w:t>
            </w:r>
          </w:p>
        </w:tc>
        <w:tc>
          <w:tcPr>
            <w:tcW w:w="140" w:type="dxa"/>
            <w:vAlign w:val="bottom"/>
          </w:tcPr>
          <w:p>
            <w:pPr>
              <w:spacing w:after="0"/>
              <w:rPr>
                <w:sz w:val="18"/>
                <w:szCs w:val="18"/>
                <w:color w:val="auto"/>
              </w:rPr>
            </w:pPr>
          </w:p>
        </w:tc>
        <w:tc>
          <w:tcPr>
            <w:tcW w:w="122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4"/>
                <w:szCs w:val="14"/>
                <w:color w:val="auto"/>
              </w:rPr>
              <w:t>700,000</w:t>
            </w:r>
          </w:p>
        </w:tc>
        <w:tc>
          <w:tcPr>
            <w:tcW w:w="1560" w:type="dxa"/>
            <w:vAlign w:val="bottom"/>
            <w:gridSpan w:val="3"/>
          </w:tcPr>
          <w:p>
            <w:pPr>
              <w:jc w:val="right"/>
              <w:ind w:right="160"/>
              <w:spacing w:after="0"/>
              <w:rPr>
                <w:sz w:val="20"/>
                <w:szCs w:val="20"/>
                <w:color w:val="auto"/>
              </w:rPr>
            </w:pPr>
            <w:r>
              <w:rPr>
                <w:rFonts w:ascii="Arial" w:cs="Arial" w:eastAsia="Arial" w:hAnsi="Arial"/>
                <w:sz w:val="14"/>
                <w:szCs w:val="14"/>
                <w:color w:val="auto"/>
              </w:rPr>
              <w:t>9,268,351</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w:t>
            </w:r>
          </w:p>
        </w:tc>
        <w:tc>
          <w:tcPr>
            <w:tcW w:w="400" w:type="dxa"/>
            <w:vAlign w:val="bottom"/>
          </w:tcPr>
          <w:p>
            <w:pPr>
              <w:ind w:left="8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9,968,351</w:t>
            </w:r>
          </w:p>
        </w:tc>
        <w:tc>
          <w:tcPr>
            <w:tcW w:w="280" w:type="dxa"/>
            <w:vAlign w:val="bottom"/>
            <w:tcBorders>
              <w:right w:val="single" w:sz="8" w:color="auto"/>
            </w:tcBorders>
          </w:tcPr>
          <w:p>
            <w:pPr>
              <w:spacing w:after="0"/>
              <w:rPr>
                <w:sz w:val="18"/>
                <w:szCs w:val="18"/>
                <w:color w:val="auto"/>
              </w:rPr>
            </w:pPr>
          </w:p>
        </w:tc>
      </w:tr>
      <w:tr>
        <w:trPr>
          <w:trHeight w:val="203"/>
        </w:trPr>
        <w:tc>
          <w:tcPr>
            <w:tcW w:w="2120" w:type="dxa"/>
            <w:vAlign w:val="bottom"/>
            <w:tcBorders>
              <w:left w:val="single" w:sz="8" w:color="auto"/>
            </w:tcBorders>
          </w:tcPr>
          <w:p>
            <w:pPr>
              <w:ind w:left="260"/>
              <w:spacing w:after="0"/>
              <w:rPr>
                <w:sz w:val="20"/>
                <w:szCs w:val="20"/>
                <w:color w:val="auto"/>
              </w:rPr>
            </w:pPr>
            <w:r>
              <w:rPr>
                <w:rFonts w:ascii="Arial" w:cs="Arial" w:eastAsia="Arial" w:hAnsi="Arial"/>
                <w:sz w:val="14"/>
                <w:szCs w:val="14"/>
                <w:color w:val="auto"/>
              </w:rPr>
              <w:t>Repayment</w:t>
            </w:r>
          </w:p>
        </w:tc>
        <w:tc>
          <w:tcPr>
            <w:tcW w:w="140" w:type="dxa"/>
            <w:vAlign w:val="bottom"/>
          </w:tcPr>
          <w:p>
            <w:pPr>
              <w:spacing w:after="0"/>
              <w:rPr>
                <w:sz w:val="17"/>
                <w:szCs w:val="17"/>
                <w:color w:val="auto"/>
              </w:rPr>
            </w:pPr>
          </w:p>
        </w:tc>
        <w:tc>
          <w:tcPr>
            <w:tcW w:w="122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120"/>
              <w:spacing w:after="0"/>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w:t>
            </w:r>
          </w:p>
        </w:tc>
        <w:tc>
          <w:tcPr>
            <w:tcW w:w="400" w:type="dxa"/>
            <w:vAlign w:val="bottom"/>
          </w:tcPr>
          <w:p>
            <w:pPr>
              <w:ind w:left="8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(3,000,000)</w:t>
            </w:r>
          </w:p>
        </w:tc>
        <w:tc>
          <w:tcPr>
            <w:tcW w:w="280" w:type="dxa"/>
            <w:vAlign w:val="bottom"/>
            <w:tcBorders>
              <w:right w:val="single" w:sz="8" w:color="auto"/>
            </w:tcBorders>
          </w:tcPr>
          <w:p>
            <w:pPr>
              <w:spacing w:after="0"/>
              <w:rPr>
                <w:sz w:val="17"/>
                <w:szCs w:val="17"/>
                <w:color w:val="auto"/>
              </w:rPr>
            </w:pPr>
          </w:p>
        </w:tc>
      </w:tr>
      <w:tr>
        <w:trPr>
          <w:trHeight w:val="203"/>
        </w:trPr>
        <w:tc>
          <w:tcPr>
            <w:tcW w:w="2120" w:type="dxa"/>
            <w:vAlign w:val="bottom"/>
            <w:tcBorders>
              <w:left w:val="single" w:sz="8" w:color="auto"/>
            </w:tcBorders>
          </w:tcPr>
          <w:p>
            <w:pPr>
              <w:ind w:left="260"/>
              <w:spacing w:after="0"/>
              <w:rPr>
                <w:sz w:val="20"/>
                <w:szCs w:val="20"/>
                <w:color w:val="auto"/>
              </w:rPr>
            </w:pPr>
            <w:r>
              <w:rPr>
                <w:rFonts w:ascii="Arial" w:cs="Arial" w:eastAsia="Arial" w:hAnsi="Arial"/>
                <w:sz w:val="14"/>
                <w:szCs w:val="14"/>
                <w:color w:val="auto"/>
              </w:rPr>
              <w:t>Conversion</w:t>
            </w:r>
          </w:p>
        </w:tc>
        <w:tc>
          <w:tcPr>
            <w:tcW w:w="140" w:type="dxa"/>
            <w:vAlign w:val="bottom"/>
          </w:tcPr>
          <w:p>
            <w:pPr>
              <w:spacing w:after="0"/>
              <w:rPr>
                <w:sz w:val="17"/>
                <w:szCs w:val="17"/>
                <w:color w:val="auto"/>
              </w:rPr>
            </w:pPr>
          </w:p>
        </w:tc>
        <w:tc>
          <w:tcPr>
            <w:tcW w:w="122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4"/>
                <w:szCs w:val="14"/>
                <w:color w:val="auto"/>
              </w:rPr>
              <w:t>4,061,942</w:t>
            </w:r>
          </w:p>
        </w:tc>
        <w:tc>
          <w:tcPr>
            <w:tcW w:w="1560" w:type="dxa"/>
            <w:vAlign w:val="bottom"/>
            <w:gridSpan w:val="3"/>
          </w:tcPr>
          <w:p>
            <w:pPr>
              <w:jc w:val="right"/>
              <w:ind w:right="120"/>
              <w:spacing w:after="0"/>
              <w:rPr>
                <w:sz w:val="20"/>
                <w:szCs w:val="20"/>
                <w:color w:val="auto"/>
              </w:rPr>
            </w:pPr>
            <w:r>
              <w:rPr>
                <w:rFonts w:ascii="Arial" w:cs="Arial" w:eastAsia="Arial" w:hAnsi="Arial"/>
                <w:sz w:val="14"/>
                <w:szCs w:val="14"/>
                <w:color w:val="auto"/>
              </w:rPr>
              <w:t>(4,061,942)</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w:t>
            </w:r>
          </w:p>
        </w:tc>
        <w:tc>
          <w:tcPr>
            <w:tcW w:w="400" w:type="dxa"/>
            <w:vAlign w:val="bottom"/>
          </w:tcPr>
          <w:p>
            <w:pPr>
              <w:ind w:left="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w:t>
            </w:r>
          </w:p>
        </w:tc>
      </w:tr>
      <w:tr>
        <w:trPr>
          <w:trHeight w:val="203"/>
        </w:trPr>
        <w:tc>
          <w:tcPr>
            <w:tcW w:w="2120" w:type="dxa"/>
            <w:vAlign w:val="bottom"/>
            <w:tcBorders>
              <w:left w:val="single" w:sz="8" w:color="auto"/>
            </w:tcBorders>
          </w:tcPr>
          <w:p>
            <w:pPr>
              <w:ind w:left="260"/>
              <w:spacing w:after="0"/>
              <w:rPr>
                <w:sz w:val="20"/>
                <w:szCs w:val="20"/>
                <w:color w:val="auto"/>
              </w:rPr>
            </w:pPr>
            <w:r>
              <w:rPr>
                <w:rFonts w:ascii="Arial" w:cs="Arial" w:eastAsia="Arial" w:hAnsi="Arial"/>
                <w:sz w:val="14"/>
                <w:szCs w:val="14"/>
                <w:color w:val="auto"/>
              </w:rPr>
              <w:t>Transfers into Level 3</w:t>
            </w:r>
          </w:p>
        </w:tc>
        <w:tc>
          <w:tcPr>
            <w:tcW w:w="140" w:type="dxa"/>
            <w:vAlign w:val="bottom"/>
          </w:tcPr>
          <w:p>
            <w:pPr>
              <w:spacing w:after="0"/>
              <w:rPr>
                <w:sz w:val="17"/>
                <w:szCs w:val="17"/>
                <w:color w:val="auto"/>
              </w:rPr>
            </w:pPr>
          </w:p>
        </w:tc>
        <w:tc>
          <w:tcPr>
            <w:tcW w:w="122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w:t>
            </w:r>
          </w:p>
        </w:tc>
        <w:tc>
          <w:tcPr>
            <w:tcW w:w="400" w:type="dxa"/>
            <w:vAlign w:val="bottom"/>
          </w:tcPr>
          <w:p>
            <w:pPr>
              <w:ind w:left="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w:t>
            </w:r>
          </w:p>
        </w:tc>
      </w:tr>
      <w:tr>
        <w:trPr>
          <w:trHeight w:val="207"/>
        </w:trPr>
        <w:tc>
          <w:tcPr>
            <w:tcW w:w="2120" w:type="dxa"/>
            <w:vAlign w:val="bottom"/>
            <w:tcBorders>
              <w:left w:val="single" w:sz="8" w:color="auto"/>
            </w:tcBorders>
          </w:tcPr>
          <w:p>
            <w:pPr>
              <w:ind w:left="260"/>
              <w:spacing w:after="0"/>
              <w:rPr>
                <w:sz w:val="20"/>
                <w:szCs w:val="20"/>
                <w:color w:val="auto"/>
              </w:rPr>
            </w:pPr>
            <w:r>
              <w:rPr>
                <w:rFonts w:ascii="Arial" w:cs="Arial" w:eastAsia="Arial" w:hAnsi="Arial"/>
                <w:sz w:val="14"/>
                <w:szCs w:val="14"/>
                <w:color w:val="auto"/>
              </w:rPr>
              <w:t>Transfers out of Level 3</w:t>
            </w:r>
          </w:p>
        </w:tc>
        <w:tc>
          <w:tcPr>
            <w:tcW w:w="140" w:type="dxa"/>
            <w:vAlign w:val="bottom"/>
          </w:tcPr>
          <w:p>
            <w:pPr>
              <w:spacing w:after="0"/>
              <w:rPr>
                <w:sz w:val="17"/>
                <w:szCs w:val="17"/>
                <w:color w:val="auto"/>
              </w:rPr>
            </w:pPr>
          </w:p>
        </w:tc>
        <w:tc>
          <w:tcPr>
            <w:tcW w:w="122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w:t>
            </w:r>
          </w:p>
        </w:tc>
        <w:tc>
          <w:tcPr>
            <w:tcW w:w="400" w:type="dxa"/>
            <w:vAlign w:val="bottom"/>
          </w:tcPr>
          <w:p>
            <w:pPr>
              <w:ind w:left="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w:t>
            </w:r>
          </w:p>
        </w:tc>
      </w:tr>
      <w:tr>
        <w:trPr>
          <w:trHeight w:val="200"/>
        </w:trPr>
        <w:tc>
          <w:tcPr>
            <w:tcW w:w="2120" w:type="dxa"/>
            <w:vAlign w:val="bottom"/>
            <w:tcBorders>
              <w:left w:val="single" w:sz="8" w:color="auto"/>
            </w:tcBorders>
          </w:tcPr>
          <w:p>
            <w:pPr>
              <w:ind w:left="260"/>
              <w:spacing w:after="0"/>
              <w:rPr>
                <w:sz w:val="20"/>
                <w:szCs w:val="20"/>
                <w:color w:val="auto"/>
              </w:rPr>
            </w:pPr>
            <w:r>
              <w:rPr>
                <w:rFonts w:ascii="Arial" w:cs="Arial" w:eastAsia="Arial" w:hAnsi="Arial"/>
                <w:sz w:val="14"/>
                <w:szCs w:val="14"/>
                <w:b w:val="1"/>
                <w:bCs w:val="1"/>
                <w:color w:val="auto"/>
              </w:rPr>
              <w:t>Total Level 3 Changes</w:t>
            </w:r>
          </w:p>
        </w:tc>
        <w:tc>
          <w:tcPr>
            <w:tcW w:w="1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gridSpan w:val="2"/>
          </w:tcPr>
          <w:p>
            <w:pPr>
              <w:ind w:left="980"/>
              <w:spacing w:after="0"/>
              <w:rPr>
                <w:sz w:val="20"/>
                <w:szCs w:val="20"/>
                <w:color w:val="auto"/>
              </w:rPr>
            </w:pPr>
            <w:r>
              <w:rPr>
                <w:rFonts w:ascii="Arial" w:cs="Arial" w:eastAsia="Arial" w:hAnsi="Arial"/>
                <w:sz w:val="14"/>
                <w:szCs w:val="14"/>
                <w:b w:val="1"/>
                <w:bCs w:val="1"/>
                <w:color w:val="auto"/>
              </w:rPr>
              <w:t>—</w:t>
            </w:r>
          </w:p>
        </w:tc>
        <w:tc>
          <w:tcPr>
            <w:tcW w:w="134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4,761,942</w:t>
            </w:r>
          </w:p>
        </w:tc>
        <w:tc>
          <w:tcPr>
            <w:tcW w:w="1560" w:type="dxa"/>
            <w:vAlign w:val="bottom"/>
            <w:tcBorders>
              <w:top w:val="single" w:sz="8" w:color="auto"/>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2,206,409</w:t>
            </w: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6,968,351</w:t>
            </w:r>
          </w:p>
        </w:tc>
        <w:tc>
          <w:tcPr>
            <w:tcW w:w="280" w:type="dxa"/>
            <w:vAlign w:val="bottom"/>
            <w:tcBorders>
              <w:right w:val="single" w:sz="8" w:color="auto"/>
            </w:tcBorders>
          </w:tcPr>
          <w:p>
            <w:pPr>
              <w:spacing w:after="0"/>
              <w:rPr>
                <w:sz w:val="17"/>
                <w:szCs w:val="17"/>
                <w:color w:val="auto"/>
              </w:rPr>
            </w:pPr>
          </w:p>
        </w:tc>
      </w:tr>
      <w:tr>
        <w:trPr>
          <w:trHeight w:val="20"/>
        </w:trPr>
        <w:tc>
          <w:tcPr>
            <w:tcW w:w="2120" w:type="dxa"/>
            <w:vAlign w:val="bottom"/>
            <w:tcBorders>
              <w:lef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r>
      <w:tr>
        <w:trPr>
          <w:trHeight w:val="115"/>
        </w:trPr>
        <w:tc>
          <w:tcPr>
            <w:tcW w:w="2120" w:type="dxa"/>
            <w:vAlign w:val="bottom"/>
            <w:tcBorders>
              <w:left w:val="single" w:sz="8" w:color="auto"/>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r>
    </w:tbl>
    <w:p>
      <w:pPr>
        <w:spacing w:after="0" w:line="305"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Significant Unobservable Inputs</w:t>
      </w:r>
    </w:p>
    <w:p>
      <w:pPr>
        <w:spacing w:after="0" w:line="252" w:lineRule="exact"/>
        <w:rPr>
          <w:sz w:val="20"/>
          <w:szCs w:val="20"/>
          <w:color w:val="auto"/>
        </w:rPr>
      </w:pPr>
    </w:p>
    <w:p>
      <w:pPr>
        <w:ind w:left="652"/>
        <w:spacing w:after="0" w:line="287" w:lineRule="auto"/>
        <w:rPr>
          <w:sz w:val="20"/>
          <w:szCs w:val="20"/>
          <w:color w:val="auto"/>
        </w:rPr>
      </w:pPr>
      <w:r>
        <w:rPr>
          <w:rFonts w:ascii="Arial" w:cs="Arial" w:eastAsia="Arial" w:hAnsi="Arial"/>
          <w:sz w:val="18"/>
          <w:szCs w:val="18"/>
          <w:color w:val="auto"/>
        </w:rPr>
        <w:t>The following table summarizes the valuation techniques and significant unobservable inputs used for the Partnership’s investments that are categorized in Level 3 of the fair value hierarchy as of September 30, 2023.</w:t>
      </w:r>
    </w:p>
    <w:p>
      <w:pPr>
        <w:sectPr>
          <w:pgSz w:w="11900" w:h="16838" w:orient="portrait"/>
          <w:cols w:equalWidth="0" w:num="1">
            <w:col w:w="11132"/>
          </w:cols>
          <w:pgMar w:left="328" w:top="121" w:right="439" w:bottom="1440" w:gutter="0" w:footer="0" w:header="0"/>
        </w:sectPr>
      </w:pPr>
    </w:p>
    <w:bookmarkStart w:id="117" w:name="page118"/>
    <w:bookmarkEnd w:id="117"/>
    <w:p>
      <w:pPr>
        <w:jc w:val="center"/>
        <w:ind w:right="-11"/>
        <w:spacing w:after="0"/>
        <w:rPr>
          <w:sz w:val="20"/>
          <w:szCs w:val="20"/>
          <w:color w:val="auto"/>
        </w:rPr>
      </w:pPr>
      <w:r>
        <w:rPr>
          <w:rFonts w:ascii="Arial" w:cs="Arial" w:eastAsia="Arial" w:hAnsi="Arial"/>
          <w:sz w:val="18"/>
          <w:szCs w:val="18"/>
          <w:b w:val="1"/>
          <w:bCs w:val="1"/>
          <w:color w:val="auto"/>
        </w:rPr>
        <w:t>MEDICI VENTURES, L.P.</w:t>
      </w:r>
    </w:p>
    <w:p>
      <w:pPr>
        <w:spacing w:after="0" w:line="2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 Delaware Limited Partnership)</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842" w:type="dxa"/>
        <w:tblCellMar>
          <w:top w:w="0" w:type="dxa"/>
          <w:left w:w="0" w:type="dxa"/>
          <w:bottom w:w="0" w:type="dxa"/>
          <w:right w:w="0" w:type="dxa"/>
        </w:tblCellMar>
      </w:tblPr>
      <w:tr>
        <w:trPr>
          <w:trHeight w:val="176"/>
        </w:trPr>
        <w:tc>
          <w:tcPr>
            <w:tcW w:w="1860" w:type="dxa"/>
            <w:vAlign w:val="bottom"/>
            <w:tcBorders>
              <w:top w:val="single" w:sz="8" w:color="auto"/>
              <w:left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Fair value at</w:t>
            </w:r>
          </w:p>
        </w:tc>
        <w:tc>
          <w:tcPr>
            <w:tcW w:w="160" w:type="dxa"/>
            <w:vAlign w:val="bottom"/>
            <w:tcBorders>
              <w:top w:val="single" w:sz="8" w:color="auto"/>
            </w:tcBorders>
            <w:gridSpan w:val="2"/>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8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60" w:type="dxa"/>
            <w:vAlign w:val="bottom"/>
            <w:tcBorders>
              <w:lef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gridSpan w:val="7"/>
            <w:vMerge w:val="restart"/>
          </w:tcPr>
          <w:p>
            <w:pPr>
              <w:jc w:val="cente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5"/>
                <w:szCs w:val="15"/>
                <w:color w:val="auto"/>
              </w:rPr>
            </w:pPr>
          </w:p>
        </w:tc>
        <w:tc>
          <w:tcPr>
            <w:tcW w:w="22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Valuation technique</w:t>
            </w:r>
          </w:p>
        </w:tc>
        <w:tc>
          <w:tcPr>
            <w:tcW w:w="18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Unobservable</w:t>
            </w:r>
          </w:p>
        </w:tc>
        <w:tc>
          <w:tcPr>
            <w:tcW w:w="7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48"/>
        </w:trPr>
        <w:tc>
          <w:tcPr>
            <w:tcW w:w="1860" w:type="dxa"/>
            <w:vAlign w:val="bottom"/>
            <w:tcBorders>
              <w:left w:val="single" w:sz="8" w:color="auto"/>
            </w:tcBorders>
            <w:vMerge w:val="restart"/>
          </w:tcPr>
          <w:p>
            <w:pPr>
              <w:ind w:left="100"/>
              <w:spacing w:after="0"/>
              <w:rPr>
                <w:sz w:val="20"/>
                <w:szCs w:val="20"/>
                <w:color w:val="auto"/>
              </w:rPr>
            </w:pPr>
            <w:r>
              <w:rPr>
                <w:rFonts w:ascii="Arial" w:cs="Arial" w:eastAsia="Arial" w:hAnsi="Arial"/>
                <w:sz w:val="14"/>
                <w:szCs w:val="14"/>
                <w:color w:val="auto"/>
              </w:rPr>
              <w:t>Investments, at fair value</w:t>
            </w:r>
          </w:p>
        </w:tc>
        <w:tc>
          <w:tcPr>
            <w:tcW w:w="360" w:type="dxa"/>
            <w:vAlign w:val="bottom"/>
          </w:tcPr>
          <w:p>
            <w:pPr>
              <w:spacing w:after="0"/>
              <w:rPr>
                <w:sz w:val="4"/>
                <w:szCs w:val="4"/>
                <w:color w:val="auto"/>
              </w:rPr>
            </w:pPr>
          </w:p>
        </w:tc>
        <w:tc>
          <w:tcPr>
            <w:tcW w:w="1180" w:type="dxa"/>
            <w:vAlign w:val="bottom"/>
            <w:gridSpan w:val="7"/>
            <w:vMerge w:val="continue"/>
          </w:tcPr>
          <w:p>
            <w:pPr>
              <w:spacing w:after="0"/>
              <w:rPr>
                <w:sz w:val="4"/>
                <w:szCs w:val="4"/>
                <w:color w:val="auto"/>
              </w:rPr>
            </w:pPr>
          </w:p>
        </w:tc>
        <w:tc>
          <w:tcPr>
            <w:tcW w:w="88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tcBorders>
              <w:top w:val="single" w:sz="8" w:color="auto"/>
            </w:tcBorders>
            <w:gridSpan w:val="3"/>
            <w:vMerge w:val="restart"/>
          </w:tcPr>
          <w:p>
            <w:pPr>
              <w:jc w:val="center"/>
              <w:spacing w:after="0"/>
              <w:rPr>
                <w:sz w:val="20"/>
                <w:szCs w:val="20"/>
                <w:color w:val="auto"/>
              </w:rPr>
            </w:pPr>
            <w:r>
              <w:rPr>
                <w:rFonts w:ascii="Arial" w:cs="Arial" w:eastAsia="Arial" w:hAnsi="Arial"/>
                <w:sz w:val="14"/>
                <w:szCs w:val="14"/>
                <w:b w:val="1"/>
                <w:bCs w:val="1"/>
                <w:color w:val="auto"/>
                <w:w w:val="99"/>
              </w:rPr>
              <w:t>inputs</w:t>
            </w:r>
          </w:p>
        </w:tc>
        <w:tc>
          <w:tcPr>
            <w:tcW w:w="600" w:type="dxa"/>
            <w:vAlign w:val="bottom"/>
            <w:vMerge w:val="restart"/>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860" w:type="dxa"/>
            <w:vAlign w:val="bottom"/>
            <w:tcBorders>
              <w:left w:val="single" w:sz="8" w:color="auto"/>
            </w:tcBorders>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gridSpan w:val="3"/>
          </w:tcPr>
          <w:p>
            <w:pPr>
              <w:jc w:val="right"/>
              <w:spacing w:after="0" w:line="102" w:lineRule="exact"/>
              <w:rPr>
                <w:sz w:val="20"/>
                <w:szCs w:val="20"/>
                <w:color w:val="auto"/>
              </w:rPr>
            </w:pPr>
            <w:r>
              <w:rPr>
                <w:rFonts w:ascii="Arial" w:cs="Arial" w:eastAsia="Arial" w:hAnsi="Arial"/>
                <w:sz w:val="11"/>
                <w:szCs w:val="11"/>
                <w:b w:val="1"/>
                <w:bCs w:val="1"/>
                <w:color w:val="auto"/>
              </w:rPr>
              <w:t>2023</w:t>
            </w:r>
          </w:p>
        </w:tc>
        <w:tc>
          <w:tcPr>
            <w:tcW w:w="2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Borders>
              <w:top w:val="single" w:sz="8" w:color="auto"/>
            </w:tcBorders>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860" w:type="dxa"/>
            <w:vAlign w:val="bottom"/>
            <w:tcBorders>
              <w:lef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86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Common stock</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7"/>
          </w:tcPr>
          <w:p>
            <w:pPr>
              <w:jc w:val="right"/>
              <w:ind w:right="60"/>
              <w:spacing w:after="0"/>
              <w:rPr>
                <w:sz w:val="20"/>
                <w:szCs w:val="20"/>
                <w:color w:val="auto"/>
              </w:rPr>
            </w:pPr>
            <w:r>
              <w:rPr>
                <w:rFonts w:ascii="Arial" w:cs="Arial" w:eastAsia="Arial" w:hAnsi="Arial"/>
                <w:sz w:val="14"/>
                <w:szCs w:val="14"/>
                <w:color w:val="auto"/>
              </w:rPr>
              <w:t>46,349,731</w:t>
            </w:r>
          </w:p>
        </w:tc>
        <w:tc>
          <w:tcPr>
            <w:tcW w:w="3120" w:type="dxa"/>
            <w:vAlign w:val="bottom"/>
            <w:gridSpan w:val="3"/>
          </w:tcPr>
          <w:p>
            <w:pPr>
              <w:jc w:val="center"/>
              <w:spacing w:after="0"/>
              <w:rPr>
                <w:sz w:val="20"/>
                <w:szCs w:val="20"/>
                <w:color w:val="auto"/>
              </w:rPr>
            </w:pPr>
            <w:r>
              <w:rPr>
                <w:rFonts w:ascii="Arial" w:cs="Arial" w:eastAsia="Arial" w:hAnsi="Arial"/>
                <w:sz w:val="14"/>
                <w:szCs w:val="14"/>
                <w:color w:val="auto"/>
              </w:rPr>
              <w:t>Option pricing model, Market comparables</w:t>
            </w:r>
          </w:p>
        </w:tc>
        <w:tc>
          <w:tcPr>
            <w:tcW w:w="1880" w:type="dxa"/>
            <w:vAlign w:val="bottom"/>
            <w:gridSpan w:val="5"/>
          </w:tcPr>
          <w:p>
            <w:pPr>
              <w:jc w:val="center"/>
              <w:ind w:right="260"/>
              <w:spacing w:after="0"/>
              <w:rPr>
                <w:sz w:val="20"/>
                <w:szCs w:val="20"/>
                <w:color w:val="auto"/>
              </w:rPr>
            </w:pPr>
            <w:r>
              <w:rPr>
                <w:rFonts w:ascii="Arial" w:cs="Arial" w:eastAsia="Arial" w:hAnsi="Arial"/>
                <w:sz w:val="14"/>
                <w:szCs w:val="14"/>
                <w:color w:val="auto"/>
              </w:rPr>
              <w:t>Adjusted valuation</w:t>
            </w:r>
          </w:p>
        </w:tc>
        <w:tc>
          <w:tcPr>
            <w:tcW w:w="7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color w:val="auto"/>
              </w:rPr>
              <w:t>5.7x</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80" w:type="dxa"/>
            <w:vAlign w:val="bottom"/>
            <w:gridSpan w:val="5"/>
          </w:tcPr>
          <w:p>
            <w:pPr>
              <w:jc w:val="center"/>
              <w:ind w:right="260"/>
              <w:spacing w:after="0"/>
              <w:rPr>
                <w:sz w:val="20"/>
                <w:szCs w:val="20"/>
                <w:color w:val="auto"/>
              </w:rPr>
            </w:pPr>
            <w:r>
              <w:rPr>
                <w:rFonts w:ascii="Arial" w:cs="Arial" w:eastAsia="Arial" w:hAnsi="Arial"/>
                <w:sz w:val="14"/>
                <w:szCs w:val="14"/>
                <w:color w:val="auto"/>
              </w:rPr>
              <w:t>multiples (revenue)</w:t>
            </w:r>
          </w:p>
        </w:tc>
        <w:tc>
          <w:tcPr>
            <w:tcW w:w="4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3120" w:type="dxa"/>
            <w:vAlign w:val="bottom"/>
            <w:gridSpan w:val="3"/>
          </w:tcPr>
          <w:p>
            <w:pPr>
              <w:jc w:val="center"/>
              <w:spacing w:after="0"/>
              <w:rPr>
                <w:sz w:val="20"/>
                <w:szCs w:val="20"/>
                <w:color w:val="auto"/>
              </w:rPr>
            </w:pPr>
            <w:r>
              <w:rPr>
                <w:rFonts w:ascii="Arial" w:cs="Arial" w:eastAsia="Arial" w:hAnsi="Arial"/>
                <w:sz w:val="14"/>
                <w:szCs w:val="14"/>
                <w:color w:val="auto"/>
              </w:rPr>
              <w:t>Market approach - Recent Transactions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3"/>
          </w:tcPr>
          <w:p>
            <w:pPr>
              <w:jc w:val="center"/>
              <w:ind w:right="880"/>
              <w:spacing w:after="0"/>
              <w:rPr>
                <w:sz w:val="20"/>
                <w:szCs w:val="20"/>
                <w:color w:val="auto"/>
              </w:rPr>
            </w:pPr>
            <w:r>
              <w:rPr>
                <w:rFonts w:ascii="Arial" w:cs="Arial" w:eastAsia="Arial" w:hAnsi="Arial"/>
                <w:sz w:val="14"/>
                <w:szCs w:val="14"/>
                <w:color w:val="auto"/>
              </w:rPr>
              <w:t>N/A</w:t>
            </w:r>
          </w:p>
        </w:tc>
        <w:tc>
          <w:tcPr>
            <w:tcW w:w="7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Preferred stock</w:t>
            </w:r>
          </w:p>
        </w:tc>
        <w:tc>
          <w:tcPr>
            <w:tcW w:w="360" w:type="dxa"/>
            <w:vAlign w:val="bottom"/>
          </w:tcPr>
          <w:p>
            <w:pPr>
              <w:spacing w:after="0"/>
              <w:rPr>
                <w:sz w:val="17"/>
                <w:szCs w:val="17"/>
                <w:color w:val="auto"/>
              </w:rPr>
            </w:pPr>
          </w:p>
        </w:tc>
        <w:tc>
          <w:tcPr>
            <w:tcW w:w="1180" w:type="dxa"/>
            <w:vAlign w:val="bottom"/>
            <w:gridSpan w:val="7"/>
          </w:tcPr>
          <w:p>
            <w:pPr>
              <w:jc w:val="right"/>
              <w:ind w:right="60"/>
              <w:spacing w:after="0"/>
              <w:rPr>
                <w:sz w:val="20"/>
                <w:szCs w:val="20"/>
                <w:color w:val="auto"/>
              </w:rPr>
            </w:pPr>
            <w:r>
              <w:rPr>
                <w:rFonts w:ascii="Arial" w:cs="Arial" w:eastAsia="Arial" w:hAnsi="Arial"/>
                <w:sz w:val="14"/>
                <w:szCs w:val="14"/>
                <w:color w:val="auto"/>
              </w:rPr>
              <w:t>48,225,838</w:t>
            </w:r>
          </w:p>
        </w:tc>
        <w:tc>
          <w:tcPr>
            <w:tcW w:w="880" w:type="dxa"/>
            <w:vAlign w:val="bottom"/>
          </w:tcPr>
          <w:p>
            <w:pPr>
              <w:spacing w:after="0"/>
              <w:rPr>
                <w:sz w:val="17"/>
                <w:szCs w:val="17"/>
                <w:color w:val="auto"/>
              </w:rPr>
            </w:pPr>
          </w:p>
        </w:tc>
        <w:tc>
          <w:tcPr>
            <w:tcW w:w="2240" w:type="dxa"/>
            <w:vAlign w:val="bottom"/>
            <w:gridSpan w:val="2"/>
          </w:tcPr>
          <w:p>
            <w:pPr>
              <w:jc w:val="center"/>
              <w:ind w:right="880"/>
              <w:spacing w:after="0"/>
              <w:rPr>
                <w:sz w:val="20"/>
                <w:szCs w:val="20"/>
                <w:color w:val="auto"/>
              </w:rPr>
            </w:pPr>
            <w:r>
              <w:rPr>
                <w:rFonts w:ascii="Arial" w:cs="Arial" w:eastAsia="Arial" w:hAnsi="Arial"/>
                <w:sz w:val="14"/>
                <w:szCs w:val="14"/>
                <w:color w:val="auto"/>
              </w:rPr>
              <w:t>Option pricing model</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3"/>
          </w:tcPr>
          <w:p>
            <w:pPr>
              <w:jc w:val="center"/>
              <w:ind w:right="880"/>
              <w:spacing w:after="0"/>
              <w:rPr>
                <w:sz w:val="20"/>
                <w:szCs w:val="20"/>
                <w:color w:val="auto"/>
              </w:rPr>
            </w:pPr>
            <w:r>
              <w:rPr>
                <w:rFonts w:ascii="Arial" w:cs="Arial" w:eastAsia="Arial" w:hAnsi="Arial"/>
                <w:sz w:val="14"/>
                <w:szCs w:val="14"/>
                <w:color w:val="auto"/>
              </w:rPr>
              <w:t>N/A</w:t>
            </w:r>
          </w:p>
        </w:tc>
        <w:tc>
          <w:tcPr>
            <w:tcW w:w="7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gridSpan w:val="7"/>
          </w:tcPr>
          <w:p>
            <w:pPr>
              <w:jc w:val="right"/>
              <w:ind w:right="60"/>
              <w:spacing w:after="0"/>
              <w:rPr>
                <w:sz w:val="20"/>
                <w:szCs w:val="20"/>
                <w:color w:val="auto"/>
              </w:rPr>
            </w:pPr>
            <w:r>
              <w:rPr>
                <w:rFonts w:ascii="Arial" w:cs="Arial" w:eastAsia="Arial" w:hAnsi="Arial"/>
                <w:sz w:val="14"/>
                <w:szCs w:val="14"/>
                <w:color w:val="auto"/>
              </w:rPr>
              <w:t>3,920,000</w:t>
            </w:r>
          </w:p>
        </w:tc>
        <w:tc>
          <w:tcPr>
            <w:tcW w:w="3120" w:type="dxa"/>
            <w:vAlign w:val="bottom"/>
            <w:gridSpan w:val="3"/>
          </w:tcPr>
          <w:p>
            <w:pPr>
              <w:jc w:val="center"/>
              <w:spacing w:after="0"/>
              <w:rPr>
                <w:sz w:val="20"/>
                <w:szCs w:val="20"/>
                <w:color w:val="auto"/>
              </w:rPr>
            </w:pPr>
            <w:r>
              <w:rPr>
                <w:rFonts w:ascii="Arial" w:cs="Arial" w:eastAsia="Arial" w:hAnsi="Arial"/>
                <w:sz w:val="14"/>
                <w:szCs w:val="14"/>
                <w:color w:val="auto"/>
              </w:rPr>
              <w:t>Market approach - Recent Transactions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3"/>
          </w:tcPr>
          <w:p>
            <w:pPr>
              <w:jc w:val="center"/>
              <w:ind w:right="880"/>
              <w:spacing w:after="0"/>
              <w:rPr>
                <w:sz w:val="20"/>
                <w:szCs w:val="20"/>
                <w:color w:val="auto"/>
              </w:rPr>
            </w:pPr>
            <w:r>
              <w:rPr>
                <w:rFonts w:ascii="Arial" w:cs="Arial" w:eastAsia="Arial" w:hAnsi="Arial"/>
                <w:sz w:val="14"/>
                <w:szCs w:val="14"/>
                <w:color w:val="auto"/>
              </w:rPr>
              <w:t>N/A</w:t>
            </w:r>
          </w:p>
        </w:tc>
        <w:tc>
          <w:tcPr>
            <w:tcW w:w="7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Convertible notes</w:t>
            </w:r>
          </w:p>
        </w:tc>
        <w:tc>
          <w:tcPr>
            <w:tcW w:w="360" w:type="dxa"/>
            <w:vAlign w:val="bottom"/>
          </w:tcPr>
          <w:p>
            <w:pPr>
              <w:spacing w:after="0"/>
              <w:rPr>
                <w:sz w:val="17"/>
                <w:szCs w:val="17"/>
                <w:color w:val="auto"/>
              </w:rPr>
            </w:pPr>
          </w:p>
        </w:tc>
        <w:tc>
          <w:tcPr>
            <w:tcW w:w="1180" w:type="dxa"/>
            <w:vAlign w:val="bottom"/>
            <w:gridSpan w:val="7"/>
          </w:tcPr>
          <w:p>
            <w:pPr>
              <w:jc w:val="right"/>
              <w:ind w:right="60"/>
              <w:spacing w:after="0"/>
              <w:rPr>
                <w:sz w:val="20"/>
                <w:szCs w:val="20"/>
                <w:color w:val="auto"/>
              </w:rPr>
            </w:pPr>
            <w:r>
              <w:rPr>
                <w:rFonts w:ascii="Arial" w:cs="Arial" w:eastAsia="Arial" w:hAnsi="Arial"/>
                <w:sz w:val="14"/>
                <w:szCs w:val="14"/>
                <w:color w:val="auto"/>
              </w:rPr>
              <w:t>6,407,004</w:t>
            </w:r>
          </w:p>
        </w:tc>
        <w:tc>
          <w:tcPr>
            <w:tcW w:w="3120" w:type="dxa"/>
            <w:vAlign w:val="bottom"/>
            <w:gridSpan w:val="3"/>
          </w:tcPr>
          <w:p>
            <w:pPr>
              <w:jc w:val="center"/>
              <w:spacing w:after="0"/>
              <w:rPr>
                <w:sz w:val="20"/>
                <w:szCs w:val="20"/>
                <w:color w:val="auto"/>
              </w:rPr>
            </w:pPr>
            <w:r>
              <w:rPr>
                <w:rFonts w:ascii="Arial" w:cs="Arial" w:eastAsia="Arial" w:hAnsi="Arial"/>
                <w:sz w:val="14"/>
                <w:szCs w:val="14"/>
                <w:color w:val="auto"/>
              </w:rPr>
              <w:t>Option pricing model, Market comparables</w:t>
            </w:r>
          </w:p>
        </w:tc>
        <w:tc>
          <w:tcPr>
            <w:tcW w:w="1880" w:type="dxa"/>
            <w:vAlign w:val="bottom"/>
            <w:gridSpan w:val="5"/>
          </w:tcPr>
          <w:p>
            <w:pPr>
              <w:jc w:val="center"/>
              <w:ind w:right="260"/>
              <w:spacing w:after="0"/>
              <w:rPr>
                <w:sz w:val="20"/>
                <w:szCs w:val="20"/>
                <w:color w:val="auto"/>
              </w:rPr>
            </w:pPr>
            <w:r>
              <w:rPr>
                <w:rFonts w:ascii="Arial" w:cs="Arial" w:eastAsia="Arial" w:hAnsi="Arial"/>
                <w:sz w:val="14"/>
                <w:szCs w:val="14"/>
                <w:color w:val="auto"/>
              </w:rPr>
              <w:t>Adjusted valuation</w:t>
            </w:r>
          </w:p>
        </w:tc>
        <w:tc>
          <w:tcPr>
            <w:tcW w:w="7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color w:val="auto"/>
              </w:rPr>
              <w:t>5.7x</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80" w:type="dxa"/>
            <w:vAlign w:val="bottom"/>
            <w:gridSpan w:val="5"/>
          </w:tcPr>
          <w:p>
            <w:pPr>
              <w:jc w:val="center"/>
              <w:ind w:right="260"/>
              <w:spacing w:after="0"/>
              <w:rPr>
                <w:sz w:val="20"/>
                <w:szCs w:val="20"/>
                <w:color w:val="auto"/>
              </w:rPr>
            </w:pPr>
            <w:r>
              <w:rPr>
                <w:rFonts w:ascii="Arial" w:cs="Arial" w:eastAsia="Arial" w:hAnsi="Arial"/>
                <w:sz w:val="14"/>
                <w:szCs w:val="14"/>
                <w:color w:val="auto"/>
              </w:rPr>
              <w:t>multiples (revenue)</w:t>
            </w:r>
          </w:p>
        </w:tc>
        <w:tc>
          <w:tcPr>
            <w:tcW w:w="4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gridSpan w:val="7"/>
          </w:tcPr>
          <w:p>
            <w:pPr>
              <w:jc w:val="right"/>
              <w:ind w:right="60"/>
              <w:spacing w:after="0"/>
              <w:rPr>
                <w:sz w:val="20"/>
                <w:szCs w:val="20"/>
                <w:color w:val="auto"/>
              </w:rPr>
            </w:pPr>
            <w:r>
              <w:rPr>
                <w:rFonts w:ascii="Arial" w:cs="Arial" w:eastAsia="Arial" w:hAnsi="Arial"/>
                <w:sz w:val="14"/>
                <w:szCs w:val="14"/>
                <w:color w:val="auto"/>
              </w:rPr>
              <w:t>1,506,986</w:t>
            </w:r>
          </w:p>
        </w:tc>
        <w:tc>
          <w:tcPr>
            <w:tcW w:w="3120" w:type="dxa"/>
            <w:vAlign w:val="bottom"/>
            <w:gridSpan w:val="3"/>
          </w:tcPr>
          <w:p>
            <w:pPr>
              <w:jc w:val="center"/>
              <w:spacing w:after="0"/>
              <w:rPr>
                <w:sz w:val="20"/>
                <w:szCs w:val="20"/>
                <w:color w:val="auto"/>
              </w:rPr>
            </w:pPr>
            <w:r>
              <w:rPr>
                <w:rFonts w:ascii="Arial" w:cs="Arial" w:eastAsia="Arial" w:hAnsi="Arial"/>
                <w:sz w:val="14"/>
                <w:szCs w:val="14"/>
                <w:color w:val="auto"/>
              </w:rPr>
              <w:t>Market approach - Recent Transactions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3"/>
          </w:tcPr>
          <w:p>
            <w:pPr>
              <w:jc w:val="center"/>
              <w:ind w:right="880"/>
              <w:spacing w:after="0"/>
              <w:rPr>
                <w:sz w:val="20"/>
                <w:szCs w:val="20"/>
                <w:color w:val="auto"/>
              </w:rPr>
            </w:pPr>
            <w:r>
              <w:rPr>
                <w:rFonts w:ascii="Arial" w:cs="Arial" w:eastAsia="Arial" w:hAnsi="Arial"/>
                <w:sz w:val="14"/>
                <w:szCs w:val="14"/>
                <w:color w:val="auto"/>
              </w:rPr>
              <w:t>N/A</w:t>
            </w:r>
          </w:p>
        </w:tc>
        <w:tc>
          <w:tcPr>
            <w:tcW w:w="7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Warrants</w:t>
            </w:r>
          </w:p>
        </w:tc>
        <w:tc>
          <w:tcPr>
            <w:tcW w:w="360" w:type="dxa"/>
            <w:vAlign w:val="bottom"/>
          </w:tcPr>
          <w:p>
            <w:pPr>
              <w:spacing w:after="0"/>
              <w:rPr>
                <w:sz w:val="17"/>
                <w:szCs w:val="17"/>
                <w:color w:val="auto"/>
              </w:rPr>
            </w:pPr>
          </w:p>
        </w:tc>
        <w:tc>
          <w:tcPr>
            <w:tcW w:w="1180" w:type="dxa"/>
            <w:vAlign w:val="bottom"/>
            <w:gridSpan w:val="7"/>
          </w:tcPr>
          <w:p>
            <w:pPr>
              <w:jc w:val="right"/>
              <w:ind w:right="60"/>
              <w:spacing w:after="0"/>
              <w:rPr>
                <w:sz w:val="20"/>
                <w:szCs w:val="20"/>
                <w:color w:val="auto"/>
              </w:rPr>
            </w:pPr>
            <w:r>
              <w:rPr>
                <w:rFonts w:ascii="Arial" w:cs="Arial" w:eastAsia="Arial" w:hAnsi="Arial"/>
                <w:sz w:val="14"/>
                <w:szCs w:val="14"/>
                <w:color w:val="auto"/>
              </w:rPr>
              <w:t>2,272,888</w:t>
            </w:r>
          </w:p>
        </w:tc>
        <w:tc>
          <w:tcPr>
            <w:tcW w:w="3120" w:type="dxa"/>
            <w:vAlign w:val="bottom"/>
            <w:gridSpan w:val="3"/>
          </w:tcPr>
          <w:p>
            <w:pPr>
              <w:jc w:val="center"/>
              <w:spacing w:after="0"/>
              <w:rPr>
                <w:sz w:val="20"/>
                <w:szCs w:val="20"/>
                <w:color w:val="auto"/>
              </w:rPr>
            </w:pPr>
            <w:r>
              <w:rPr>
                <w:rFonts w:ascii="Arial" w:cs="Arial" w:eastAsia="Arial" w:hAnsi="Arial"/>
                <w:sz w:val="14"/>
                <w:szCs w:val="14"/>
                <w:color w:val="auto"/>
              </w:rPr>
              <w:t>Transaction backsolve</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3"/>
          </w:tcPr>
          <w:p>
            <w:pPr>
              <w:jc w:val="center"/>
              <w:ind w:right="880"/>
              <w:spacing w:after="0"/>
              <w:rPr>
                <w:sz w:val="20"/>
                <w:szCs w:val="20"/>
                <w:color w:val="auto"/>
              </w:rPr>
            </w:pPr>
            <w:r>
              <w:rPr>
                <w:rFonts w:ascii="Arial" w:cs="Arial" w:eastAsia="Arial" w:hAnsi="Arial"/>
                <w:sz w:val="14"/>
                <w:szCs w:val="14"/>
                <w:color w:val="auto"/>
              </w:rPr>
              <w:t>N/A</w:t>
            </w:r>
          </w:p>
        </w:tc>
        <w:tc>
          <w:tcPr>
            <w:tcW w:w="7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Safe Notes</w:t>
            </w:r>
          </w:p>
        </w:tc>
        <w:tc>
          <w:tcPr>
            <w:tcW w:w="360" w:type="dxa"/>
            <w:vAlign w:val="bottom"/>
          </w:tcPr>
          <w:p>
            <w:pPr>
              <w:spacing w:after="0"/>
              <w:rPr>
                <w:sz w:val="17"/>
                <w:szCs w:val="17"/>
                <w:color w:val="auto"/>
              </w:rPr>
            </w:pPr>
          </w:p>
        </w:tc>
        <w:tc>
          <w:tcPr>
            <w:tcW w:w="1180" w:type="dxa"/>
            <w:vAlign w:val="bottom"/>
            <w:gridSpan w:val="7"/>
          </w:tcPr>
          <w:p>
            <w:pPr>
              <w:jc w:val="right"/>
              <w:ind w:right="60"/>
              <w:spacing w:after="0"/>
              <w:rPr>
                <w:sz w:val="20"/>
                <w:szCs w:val="20"/>
                <w:color w:val="auto"/>
              </w:rPr>
            </w:pPr>
            <w:r>
              <w:rPr>
                <w:rFonts w:ascii="Arial" w:cs="Arial" w:eastAsia="Arial" w:hAnsi="Arial"/>
                <w:sz w:val="14"/>
                <w:szCs w:val="14"/>
                <w:color w:val="auto"/>
              </w:rPr>
              <w:t>1,293,980</w:t>
            </w:r>
          </w:p>
        </w:tc>
        <w:tc>
          <w:tcPr>
            <w:tcW w:w="3120" w:type="dxa"/>
            <w:vAlign w:val="bottom"/>
            <w:gridSpan w:val="3"/>
          </w:tcPr>
          <w:p>
            <w:pPr>
              <w:jc w:val="center"/>
              <w:spacing w:after="0"/>
              <w:rPr>
                <w:sz w:val="20"/>
                <w:szCs w:val="20"/>
                <w:color w:val="auto"/>
              </w:rPr>
            </w:pPr>
            <w:r>
              <w:rPr>
                <w:rFonts w:ascii="Arial" w:cs="Arial" w:eastAsia="Arial" w:hAnsi="Arial"/>
                <w:sz w:val="14"/>
                <w:szCs w:val="14"/>
                <w:color w:val="auto"/>
              </w:rPr>
              <w:t>Market approach - Recent Transactions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3"/>
          </w:tcPr>
          <w:p>
            <w:pPr>
              <w:jc w:val="center"/>
              <w:ind w:right="880"/>
              <w:spacing w:after="0"/>
              <w:rPr>
                <w:sz w:val="20"/>
                <w:szCs w:val="20"/>
                <w:color w:val="auto"/>
              </w:rPr>
            </w:pPr>
            <w:r>
              <w:rPr>
                <w:rFonts w:ascii="Arial" w:cs="Arial" w:eastAsia="Arial" w:hAnsi="Arial"/>
                <w:sz w:val="14"/>
                <w:szCs w:val="14"/>
                <w:color w:val="auto"/>
              </w:rPr>
              <w:t>N/A</w:t>
            </w:r>
          </w:p>
        </w:tc>
        <w:tc>
          <w:tcPr>
            <w:tcW w:w="7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03"/>
        </w:trPr>
        <w:tc>
          <w:tcPr>
            <w:tcW w:w="1860" w:type="dxa"/>
            <w:vAlign w:val="bottom"/>
            <w:tcBorders>
              <w:lef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60" w:type="dxa"/>
            <w:vAlign w:val="bottom"/>
            <w:tcBorders>
              <w:left w:val="single" w:sz="8" w:color="auto"/>
            </w:tcBorders>
          </w:tcPr>
          <w:p>
            <w:pPr>
              <w:spacing w:after="0"/>
              <w:rPr>
                <w:sz w:val="17"/>
                <w:szCs w:val="17"/>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109,976,427</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86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860" w:type="dxa"/>
            <w:vAlign w:val="bottom"/>
            <w:tcBorders>
              <w:left w:val="single" w:sz="8" w:color="auto"/>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52" w:right="60"/>
        <w:spacing w:after="0" w:line="257" w:lineRule="auto"/>
        <w:rPr>
          <w:sz w:val="20"/>
          <w:szCs w:val="20"/>
          <w:color w:val="auto"/>
        </w:rPr>
      </w:pPr>
      <w:r>
        <w:rPr>
          <w:rFonts w:ascii="Arial" w:cs="Arial" w:eastAsia="Arial" w:hAnsi="Arial"/>
          <w:sz w:val="18"/>
          <w:szCs w:val="18"/>
          <w:color w:val="auto"/>
        </w:rPr>
        <w:t>The investments are categorized as Level 3 due to the valuation methodology having significant unobservable inputs, and little or no market activity for the investments. All valuations were performed in accordance with the Partnership’s valuation policy, which is in accordance with ASC 820 and reflects management’s best judgment of the fair value of the assets. The General Partner values the investments based on the information available at the balance sheet date. While the overall valuation methodologies used in estimating fair values have not changed, the methodologies applied to each investment may change based on market and business events specific to that investment.</w:t>
      </w:r>
    </w:p>
    <w:p>
      <w:pPr>
        <w:spacing w:after="0" w:line="209" w:lineRule="exact"/>
        <w:rPr>
          <w:sz w:val="20"/>
          <w:szCs w:val="20"/>
          <w:color w:val="auto"/>
        </w:rPr>
      </w:pPr>
    </w:p>
    <w:p>
      <w:pPr>
        <w:ind w:left="412" w:hanging="412"/>
        <w:spacing w:after="0"/>
        <w:tabs>
          <w:tab w:leader="none" w:pos="41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Capital Contributions</w:t>
      </w:r>
    </w:p>
    <w:p>
      <w:pPr>
        <w:spacing w:after="0" w:line="252" w:lineRule="exact"/>
        <w:rPr>
          <w:sz w:val="20"/>
          <w:szCs w:val="20"/>
          <w:color w:val="auto"/>
        </w:rPr>
      </w:pPr>
    </w:p>
    <w:p>
      <w:pPr>
        <w:jc w:val="both"/>
        <w:ind w:left="652" w:right="40"/>
        <w:spacing w:after="0" w:line="268" w:lineRule="auto"/>
        <w:rPr>
          <w:sz w:val="20"/>
          <w:szCs w:val="20"/>
          <w:color w:val="auto"/>
        </w:rPr>
      </w:pPr>
      <w:r>
        <w:rPr>
          <w:rFonts w:ascii="Arial" w:cs="Arial" w:eastAsia="Arial" w:hAnsi="Arial"/>
          <w:sz w:val="18"/>
          <w:szCs w:val="18"/>
          <w:color w:val="auto"/>
        </w:rPr>
        <w:t>As of September 30, 2023, the total capital committed to the Partnership was $45,000,000 and of which $450,000 was committed by the General Partner and $44,550,000 by the Limited Partner. A total of $45,000,000 (100%) of capital commitments was called as of September 30, 2023.</w:t>
      </w:r>
    </w:p>
    <w:p>
      <w:pPr>
        <w:spacing w:after="0" w:line="198" w:lineRule="exact"/>
        <w:rPr>
          <w:sz w:val="20"/>
          <w:szCs w:val="20"/>
          <w:color w:val="auto"/>
        </w:rPr>
      </w:pPr>
    </w:p>
    <w:p>
      <w:pPr>
        <w:ind w:left="412" w:hanging="412"/>
        <w:spacing w:after="0"/>
        <w:tabs>
          <w:tab w:leader="none" w:pos="41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Fee</w:t>
      </w:r>
    </w:p>
    <w:p>
      <w:pPr>
        <w:spacing w:after="0" w:line="252" w:lineRule="exact"/>
        <w:rPr>
          <w:sz w:val="20"/>
          <w:szCs w:val="20"/>
          <w:color w:val="auto"/>
        </w:rPr>
      </w:pPr>
    </w:p>
    <w:p>
      <w:pPr>
        <w:ind w:left="652" w:right="100"/>
        <w:spacing w:after="0" w:line="262" w:lineRule="auto"/>
        <w:rPr>
          <w:sz w:val="20"/>
          <w:szCs w:val="20"/>
          <w:color w:val="auto"/>
        </w:rPr>
      </w:pPr>
      <w:r>
        <w:rPr>
          <w:rFonts w:ascii="Arial" w:cs="Arial" w:eastAsia="Arial" w:hAnsi="Arial"/>
          <w:sz w:val="18"/>
          <w:szCs w:val="18"/>
          <w:color w:val="auto"/>
        </w:rPr>
        <w:t>The Management Company of the General Partner is paid an annual management fee for services rendered during the term of the Partnership The annual management fee is $2,500,000 per year over the first eight years of the term of the Partnership. The annual management fee paid to the Management Company in April 2023, was $2,500,000, of which $1,458,333 is included in prepaid management fees as of September 30, 2023.</w:t>
      </w:r>
    </w:p>
    <w:p>
      <w:pPr>
        <w:spacing w:after="0" w:line="203"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management fee expense for the year ended September 30, 2023, was $2,500,000.</w:t>
      </w:r>
    </w:p>
    <w:p>
      <w:pPr>
        <w:spacing w:after="0" w:line="252" w:lineRule="exact"/>
        <w:rPr>
          <w:sz w:val="20"/>
          <w:szCs w:val="20"/>
          <w:color w:val="auto"/>
        </w:rPr>
      </w:pPr>
    </w:p>
    <w:p>
      <w:pPr>
        <w:ind w:left="412" w:hanging="412"/>
        <w:spacing w:after="0"/>
        <w:tabs>
          <w:tab w:leader="none" w:pos="41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Allocation of Partnership Profit and Loss</w:t>
      </w:r>
    </w:p>
    <w:p>
      <w:pPr>
        <w:spacing w:after="0" w:line="252" w:lineRule="exact"/>
        <w:rPr>
          <w:sz w:val="20"/>
          <w:szCs w:val="20"/>
          <w:color w:val="auto"/>
        </w:rPr>
      </w:pPr>
    </w:p>
    <w:p>
      <w:pPr>
        <w:ind w:left="652"/>
        <w:spacing w:after="0" w:line="318" w:lineRule="auto"/>
        <w:rPr>
          <w:sz w:val="20"/>
          <w:szCs w:val="20"/>
          <w:color w:val="auto"/>
        </w:rPr>
      </w:pPr>
      <w:r>
        <w:rPr>
          <w:rFonts w:ascii="Arial" w:cs="Arial" w:eastAsia="Arial" w:hAnsi="Arial"/>
          <w:sz w:val="17"/>
          <w:szCs w:val="17"/>
          <w:color w:val="auto"/>
        </w:rPr>
        <w:t>All operating expenses of the Partnership, except for Management Fees, are allocated to the Capital Accounts of all the partners in proportion to their respective partnership percentages. Management Fees are allocated to the Capital Account of the Limited Partner.</w:t>
      </w:r>
    </w:p>
    <w:p>
      <w:pPr>
        <w:spacing w:after="0" w:line="157" w:lineRule="exact"/>
        <w:rPr>
          <w:sz w:val="20"/>
          <w:szCs w:val="20"/>
          <w:color w:val="auto"/>
        </w:rPr>
      </w:pPr>
    </w:p>
    <w:p>
      <w:pPr>
        <w:ind w:left="652" w:right="240"/>
        <w:spacing w:after="0" w:line="268" w:lineRule="auto"/>
        <w:rPr>
          <w:sz w:val="20"/>
          <w:szCs w:val="20"/>
          <w:color w:val="auto"/>
        </w:rPr>
      </w:pPr>
      <w:r>
        <w:rPr>
          <w:rFonts w:ascii="Arial" w:cs="Arial" w:eastAsia="Arial" w:hAnsi="Arial"/>
          <w:sz w:val="18"/>
          <w:szCs w:val="18"/>
          <w:color w:val="auto"/>
        </w:rPr>
        <w:t>Allocations of carried interest to the General Partner are limited within the restricted sales window for Group A portfolio companies unless the estimated fair value is above the Threshold NAV, which is defined in the Agreement. For the Group A companies with estimated fair values above the Threshold NAV, the allocation</w:t>
      </w:r>
    </w:p>
    <w:p>
      <w:pPr>
        <w:sectPr>
          <w:pgSz w:w="11900" w:h="16838" w:orient="portrait"/>
          <w:cols w:equalWidth="0" w:num="1">
            <w:col w:w="11212"/>
          </w:cols>
          <w:pgMar w:left="328" w:top="121" w:right="359" w:bottom="1440" w:gutter="0" w:footer="0" w:header="0"/>
        </w:sectPr>
      </w:pPr>
    </w:p>
    <w:bookmarkStart w:id="118" w:name="page119"/>
    <w:bookmarkEnd w:id="118"/>
    <w:p>
      <w:pPr>
        <w:jc w:val="center"/>
        <w:ind w:right="-11"/>
        <w:spacing w:after="0"/>
        <w:rPr>
          <w:sz w:val="20"/>
          <w:szCs w:val="20"/>
          <w:color w:val="auto"/>
        </w:rPr>
      </w:pPr>
      <w:r>
        <w:rPr>
          <w:rFonts w:ascii="Arial" w:cs="Arial" w:eastAsia="Arial" w:hAnsi="Arial"/>
          <w:sz w:val="18"/>
          <w:szCs w:val="18"/>
          <w:b w:val="1"/>
          <w:bCs w:val="1"/>
          <w:color w:val="auto"/>
        </w:rPr>
        <w:t>MEDICI VENTURES, L.P.</w:t>
      </w:r>
    </w:p>
    <w:p>
      <w:pPr>
        <w:spacing w:after="0" w:line="2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 Delaware Limited Partnership)</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52" w:right="40"/>
        <w:spacing w:after="0" w:line="255" w:lineRule="auto"/>
        <w:rPr>
          <w:sz w:val="20"/>
          <w:szCs w:val="20"/>
          <w:color w:val="auto"/>
        </w:rPr>
      </w:pPr>
      <w:r>
        <w:rPr>
          <w:rFonts w:ascii="Arial" w:cs="Arial" w:eastAsia="Arial" w:hAnsi="Arial"/>
          <w:sz w:val="18"/>
          <w:szCs w:val="18"/>
          <w:color w:val="auto"/>
        </w:rPr>
        <w:t>of hypothetical carried interest to the General Partner within the restricted sales window is 30% of excess proceeds, which are the funds received from the sale of a Group A portfolio company above the Reference NAV, as defined by the Agreement. In the case of a sale of a portfolio company during the restricted sales window that the General Partner cannot prevent, the General Partner and Limited Partner will reach a consensus on allocating and distributing the funds pursuant to the Agreement. The restricted sales window for Group B companies expired on April 23, 2023. For Group B companies with an estimated fair value greater than 400% of the Reference NAV and greater than or equal to $2,000,000, the allocation of hypothetical carried interest to the General Partner is 30% of cumulative proceeds. For Group B companies with an estimated fair value less than 400% of the Reference NAV or less than $2,000,000, the allocation of hypothetical carried interest to the General Partner is 50% of cumulative proceeds.</w:t>
      </w:r>
    </w:p>
    <w:p>
      <w:pPr>
        <w:spacing w:after="0" w:line="212" w:lineRule="exact"/>
        <w:rPr>
          <w:sz w:val="20"/>
          <w:szCs w:val="20"/>
          <w:color w:val="auto"/>
        </w:rPr>
      </w:pPr>
    </w:p>
    <w:p>
      <w:pPr>
        <w:ind w:left="652" w:right="100"/>
        <w:spacing w:after="0" w:line="253" w:lineRule="auto"/>
        <w:rPr>
          <w:sz w:val="20"/>
          <w:szCs w:val="20"/>
          <w:color w:val="auto"/>
        </w:rPr>
      </w:pPr>
      <w:r>
        <w:rPr>
          <w:rFonts w:ascii="Arial" w:cs="Arial" w:eastAsia="Arial" w:hAnsi="Arial"/>
          <w:sz w:val="18"/>
          <w:szCs w:val="18"/>
          <w:color w:val="auto"/>
        </w:rPr>
        <w:t>Allocations to the capital accounts at September 30, 2023, reflect the General Partner’s carried interest as if the Partnership had realized the sale of Group A assets above the Threshold NAV and Group B assets above the reference NAV at the fair value reported in the financial statements and assumes a hypothetical allocation and distribution of the net assets to the Partners as of September 30, 2023, consistent with the provisions of the Agreement. As of September 30, 2023, allocations of hypothetical carried interest to the General Partner were $2,926,241. Hypothetical carried interest to the General Partner will remain provisional until assets are realized. If the sales restriction of three years (see note 1) were lifted and the Partnership were able to liquidate the portfolio companies and distribute the funds at the estimated fair values reported as of September 30, 2023, the hypothetical carried interest allocation would increase by $271,103. The hypothetical carried interest allocation is not a projection of future events, but rather it is a calculation according to accounting guidelines of what the allocation would be if the Partnership were liquidated as of September 30, 2023. Due to the inherent uncertainties of the valuation process and the potential exit scenarios for the Partnership’s investments, the estimates of fair value, and therefore the hypothetical allocations of carried interest as of September 30, 2023, may differ significantly from the amounts realized in future periods and those differences could be material.</w:t>
      </w:r>
    </w:p>
    <w:p>
      <w:pPr>
        <w:spacing w:after="0" w:line="217" w:lineRule="exact"/>
        <w:rPr>
          <w:sz w:val="20"/>
          <w:szCs w:val="20"/>
          <w:color w:val="auto"/>
        </w:rPr>
      </w:pPr>
    </w:p>
    <w:p>
      <w:pPr>
        <w:ind w:left="412" w:hanging="412"/>
        <w:spacing w:after="0"/>
        <w:tabs>
          <w:tab w:leader="none" w:pos="41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Distributions</w:t>
      </w:r>
    </w:p>
    <w:p>
      <w:pPr>
        <w:spacing w:after="0" w:line="252" w:lineRule="exact"/>
        <w:rPr>
          <w:sz w:val="20"/>
          <w:szCs w:val="20"/>
          <w:color w:val="auto"/>
        </w:rPr>
      </w:pPr>
    </w:p>
    <w:p>
      <w:pPr>
        <w:ind w:left="652" w:right="100"/>
        <w:spacing w:after="0" w:line="268" w:lineRule="auto"/>
        <w:rPr>
          <w:sz w:val="20"/>
          <w:szCs w:val="20"/>
          <w:color w:val="auto"/>
        </w:rPr>
      </w:pPr>
      <w:r>
        <w:rPr>
          <w:rFonts w:ascii="Arial" w:cs="Arial" w:eastAsia="Arial" w:hAnsi="Arial"/>
          <w:sz w:val="18"/>
          <w:szCs w:val="18"/>
          <w:color w:val="auto"/>
        </w:rPr>
        <w:t>Per the Agreement, proceeds from a sale of a portfolio company are distributed to the General and Limited Partners on a deal-by-deal basis. The Performance Fee related to the sale (see note 8), if any, will first be distributed to the General Partner and thereafter the remaining proceeds will be allocated and distributed in accordance with the Agreement.</w:t>
      </w:r>
    </w:p>
    <w:p>
      <w:pPr>
        <w:spacing w:after="0" w:line="198" w:lineRule="exact"/>
        <w:rPr>
          <w:sz w:val="20"/>
          <w:szCs w:val="20"/>
          <w:color w:val="auto"/>
        </w:rPr>
      </w:pPr>
    </w:p>
    <w:p>
      <w:pPr>
        <w:ind w:left="412" w:hanging="412"/>
        <w:spacing w:after="0"/>
        <w:tabs>
          <w:tab w:leader="none" w:pos="412"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Fees</w:t>
      </w:r>
    </w:p>
    <w:p>
      <w:pPr>
        <w:spacing w:after="0" w:line="252" w:lineRule="exact"/>
        <w:rPr>
          <w:sz w:val="20"/>
          <w:szCs w:val="20"/>
          <w:color w:val="auto"/>
        </w:rPr>
      </w:pPr>
    </w:p>
    <w:p>
      <w:pPr>
        <w:ind w:left="652" w:right="20"/>
        <w:spacing w:after="0" w:line="281" w:lineRule="auto"/>
        <w:rPr>
          <w:sz w:val="20"/>
          <w:szCs w:val="20"/>
          <w:color w:val="auto"/>
        </w:rPr>
      </w:pPr>
      <w:r>
        <w:rPr>
          <w:rFonts w:ascii="Arial" w:cs="Arial" w:eastAsia="Arial" w:hAnsi="Arial"/>
          <w:sz w:val="17"/>
          <w:szCs w:val="17"/>
          <w:color w:val="auto"/>
        </w:rPr>
        <w:t>Per the Agreement, following the disposition by the Partnership of a portfolio company, the Partnership may pay to the General Partner a Performance Fee in situations where the General Partner’s carried interest is less than the Target Performance Entitlement as defined in the Agreement. Depending on the amount of carried interest allocated to the General Partner, the Performance Fee</w:t>
      </w:r>
    </w:p>
    <w:p>
      <w:pPr>
        <w:spacing w:after="0" w:line="2" w:lineRule="exact"/>
        <w:rPr>
          <w:sz w:val="20"/>
          <w:szCs w:val="20"/>
          <w:color w:val="auto"/>
        </w:rPr>
      </w:pPr>
    </w:p>
    <w:p>
      <w:pPr>
        <w:ind w:left="652" w:right="420"/>
        <w:spacing w:after="0" w:line="287" w:lineRule="auto"/>
        <w:rPr>
          <w:sz w:val="20"/>
          <w:szCs w:val="20"/>
          <w:color w:val="auto"/>
        </w:rPr>
      </w:pPr>
      <w:r>
        <w:rPr>
          <w:rFonts w:ascii="Arial" w:cs="Arial" w:eastAsia="Arial" w:hAnsi="Arial"/>
          <w:sz w:val="18"/>
          <w:szCs w:val="18"/>
          <w:color w:val="auto"/>
        </w:rPr>
        <w:t>could be a fixed amount or a percentage of the Excess Proceeds or a percentage of the cumulative proceeds. Performance Fee expenses are allocated to the Partnership capital accounts based on the respective Partnership percentages.</w:t>
      </w:r>
    </w:p>
    <w:p>
      <w:pPr>
        <w:spacing w:after="0" w:line="180" w:lineRule="exact"/>
        <w:rPr>
          <w:sz w:val="20"/>
          <w:szCs w:val="20"/>
          <w:color w:val="auto"/>
        </w:rPr>
      </w:pPr>
    </w:p>
    <w:p>
      <w:pPr>
        <w:ind w:left="652"/>
        <w:spacing w:after="0" w:line="257" w:lineRule="auto"/>
        <w:rPr>
          <w:sz w:val="20"/>
          <w:szCs w:val="20"/>
          <w:color w:val="auto"/>
        </w:rPr>
      </w:pPr>
      <w:r>
        <w:rPr>
          <w:rFonts w:ascii="Arial" w:cs="Arial" w:eastAsia="Arial" w:hAnsi="Arial"/>
          <w:sz w:val="18"/>
          <w:szCs w:val="18"/>
          <w:color w:val="auto"/>
        </w:rPr>
        <w:t>The sale restriction window for Group B companies expired upon the second anniversary of the Partnership, which occurred during the year ended September 30, 2023. The increase in the Performance Fee liability is attributed to the Group B portfolio company Performance Fee being allocated to the Partnership capital accounts based on the respective Partnership percentages. As of September 30, 2023, the Performance Fee liability was $5,290,734. This represents an estimated Performance Fee payable to the General Partner for the hypothetical liquidation of a Group A portfolio company with a valuation that is higher than the Threshold NAV and the hypothetical liquidation of all Group B companies at September 30,</w:t>
      </w:r>
    </w:p>
    <w:p>
      <w:pPr>
        <w:sectPr>
          <w:pgSz w:w="11900" w:h="16838" w:orient="portrait"/>
          <w:cols w:equalWidth="0" w:num="1">
            <w:col w:w="11232"/>
          </w:cols>
          <w:pgMar w:left="328" w:top="121" w:right="339" w:bottom="1440" w:gutter="0" w:footer="0" w:header="0"/>
        </w:sectPr>
      </w:pPr>
    </w:p>
    <w:bookmarkStart w:id="119" w:name="page120"/>
    <w:bookmarkEnd w:id="119"/>
    <w:p>
      <w:pPr>
        <w:jc w:val="center"/>
        <w:ind w:right="-51"/>
        <w:spacing w:after="0"/>
        <w:rPr>
          <w:sz w:val="20"/>
          <w:szCs w:val="20"/>
          <w:color w:val="auto"/>
        </w:rPr>
      </w:pPr>
      <w:r>
        <w:rPr>
          <w:rFonts w:ascii="Arial" w:cs="Arial" w:eastAsia="Arial" w:hAnsi="Arial"/>
          <w:sz w:val="18"/>
          <w:szCs w:val="18"/>
          <w:b w:val="1"/>
          <w:bCs w:val="1"/>
          <w:color w:val="auto"/>
        </w:rPr>
        <w:t>MEDICI VENTURES, L.P.</w:t>
      </w:r>
    </w:p>
    <w:p>
      <w:pPr>
        <w:spacing w:after="0" w:line="2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(A Delaware Limited Partnership)</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52" w:right="440"/>
        <w:spacing w:after="0" w:line="260" w:lineRule="auto"/>
        <w:rPr>
          <w:sz w:val="20"/>
          <w:szCs w:val="20"/>
          <w:color w:val="auto"/>
        </w:rPr>
      </w:pPr>
      <w:r>
        <w:rPr>
          <w:rFonts w:ascii="Arial" w:cs="Arial" w:eastAsia="Arial" w:hAnsi="Arial"/>
          <w:sz w:val="18"/>
          <w:szCs w:val="18"/>
          <w:color w:val="auto"/>
        </w:rPr>
        <w:t>2023. This value is not a projection of future events, but rather a calculation according to the hypothetical liquidation accounting guidelines.</w:t>
      </w:r>
    </w:p>
    <w:p>
      <w:pPr>
        <w:spacing w:after="0" w:line="2" w:lineRule="exact"/>
        <w:rPr>
          <w:sz w:val="20"/>
          <w:szCs w:val="20"/>
          <w:color w:val="auto"/>
        </w:rPr>
      </w:pPr>
    </w:p>
    <w:p>
      <w:pPr>
        <w:ind w:left="652"/>
        <w:spacing w:after="0" w:line="271" w:lineRule="auto"/>
        <w:rPr>
          <w:sz w:val="20"/>
          <w:szCs w:val="20"/>
          <w:color w:val="auto"/>
        </w:rPr>
      </w:pPr>
      <w:r>
        <w:rPr>
          <w:rFonts w:ascii="Arial" w:cs="Arial" w:eastAsia="Arial" w:hAnsi="Arial"/>
          <w:sz w:val="17"/>
          <w:szCs w:val="17"/>
          <w:color w:val="auto"/>
        </w:rPr>
        <w:t>Upon the expiration of the sales restriction window of three years for Group A companies, the estimated Performance Fee payable is expected to increase. If the sales restriction of three years for Group A companies were lifted and the limitation on the Performance Fee and carried interest during the sales restriction window were removed, and the Partnership were able to liquidate the portfolio companies and distribute the funds at the fair values reported as of September 30, 2023, consistent with the Agreement, the Performance Fee liability for Group A companies with valuations at or below the Threshold NAV would increase by $ 5,728,897. This value is not a projection of future events, but rather a calculation according to the hypothetical liquidation accounting guidelines.</w:t>
      </w:r>
    </w:p>
    <w:p>
      <w:pPr>
        <w:spacing w:after="0" w:line="197" w:lineRule="exact"/>
        <w:rPr>
          <w:sz w:val="20"/>
          <w:szCs w:val="20"/>
          <w:color w:val="auto"/>
        </w:rPr>
      </w:pPr>
    </w:p>
    <w:p>
      <w:pPr>
        <w:ind w:left="652" w:right="160"/>
        <w:spacing w:after="0" w:line="259" w:lineRule="auto"/>
        <w:rPr>
          <w:sz w:val="20"/>
          <w:szCs w:val="20"/>
          <w:color w:val="auto"/>
        </w:rPr>
      </w:pPr>
      <w:r>
        <w:rPr>
          <w:rFonts w:ascii="Arial" w:cs="Arial" w:eastAsia="Arial" w:hAnsi="Arial"/>
          <w:sz w:val="18"/>
          <w:szCs w:val="18"/>
          <w:color w:val="auto"/>
        </w:rPr>
        <w:t>Any portfolio company that is ultimately shut down due to the inability to obtain adequate financing, or to achieve adequate product market fit, and provides no exit or liquidation proceeds to the Partnership will not trigger any Performance Fee. Due to the inherent uncertainties of the valuation process and the potential exit scenarios for the Partnership’s investments, the estimates of fair value, and therefore the Performance Fee liability as of September 30, 2023, may differ significantly from the amount realized in future periods and that difference could be material.</w:t>
      </w:r>
    </w:p>
    <w:p>
      <w:pPr>
        <w:spacing w:after="0" w:line="206" w:lineRule="exact"/>
        <w:rPr>
          <w:sz w:val="20"/>
          <w:szCs w:val="20"/>
          <w:color w:val="auto"/>
        </w:rPr>
      </w:pPr>
    </w:p>
    <w:p>
      <w:pPr>
        <w:ind w:left="412" w:hanging="412"/>
        <w:spacing w:after="0"/>
        <w:tabs>
          <w:tab w:leader="none" w:pos="412"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252" w:lineRule="exact"/>
        <w:rPr>
          <w:sz w:val="20"/>
          <w:szCs w:val="20"/>
          <w:color w:val="auto"/>
        </w:rPr>
      </w:pPr>
    </w:p>
    <w:p>
      <w:pPr>
        <w:ind w:left="652" w:right="340"/>
        <w:spacing w:after="0" w:line="262" w:lineRule="auto"/>
        <w:rPr>
          <w:sz w:val="20"/>
          <w:szCs w:val="20"/>
          <w:color w:val="auto"/>
        </w:rPr>
      </w:pPr>
      <w:r>
        <w:rPr>
          <w:rFonts w:ascii="Arial" w:cs="Arial" w:eastAsia="Arial" w:hAnsi="Arial"/>
          <w:sz w:val="18"/>
          <w:szCs w:val="18"/>
          <w:color w:val="auto"/>
        </w:rPr>
        <w:t>The management company of the General Partner pays expenses on behalf of the Partnership, and the Partnership reimburses these expenses, which include legal, accounting, professional, and other general expenses. The amount paid on behalf of the Partnership for the year ended September 30, 2023, was $426,485, which is included in the related party payable of $182,346 at period end.</w:t>
      </w:r>
    </w:p>
    <w:p>
      <w:pPr>
        <w:spacing w:after="0" w:line="203"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management company of the General Partner is paid management fees (note 5).</w:t>
      </w:r>
    </w:p>
    <w:p>
      <w:pPr>
        <w:spacing w:after="0" w:line="252" w:lineRule="exact"/>
        <w:rPr>
          <w:sz w:val="20"/>
          <w:szCs w:val="20"/>
          <w:color w:val="auto"/>
        </w:rPr>
      </w:pPr>
    </w:p>
    <w:p>
      <w:pPr>
        <w:ind w:left="572" w:hanging="572"/>
        <w:spacing w:after="0"/>
        <w:tabs>
          <w:tab w:leader="none" w:pos="57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Highlights</w:t>
      </w:r>
    </w:p>
    <w:p>
      <w:pPr>
        <w:spacing w:after="0" w:line="252" w:lineRule="exact"/>
        <w:rPr>
          <w:sz w:val="20"/>
          <w:szCs w:val="20"/>
          <w:color w:val="auto"/>
        </w:rPr>
      </w:pPr>
    </w:p>
    <w:p>
      <w:pPr>
        <w:ind w:left="652" w:right="20"/>
        <w:spacing w:after="0" w:line="262" w:lineRule="auto"/>
        <w:rPr>
          <w:sz w:val="20"/>
          <w:szCs w:val="20"/>
          <w:color w:val="auto"/>
        </w:rPr>
      </w:pPr>
      <w:r>
        <w:rPr>
          <w:rFonts w:ascii="Arial" w:cs="Arial" w:eastAsia="Arial" w:hAnsi="Arial"/>
          <w:sz w:val="18"/>
          <w:szCs w:val="18"/>
          <w:color w:val="auto"/>
        </w:rPr>
        <w:t>The Limited Partner’s ratio of net investment loss to average net assets for the period from October 1, 2022, to September 30, 2023, is approximately -4.17%. The net investment loss is calculated by summing investment and other income, less total expenses, which include management fees. The Limited Partner’s ratio of expenses to average net assets for the period from October 1, 2022, to September 30, 2023, is approximately -5.12%. Expenses are the Partnership’s expenses, including the management fees.</w:t>
      </w:r>
    </w:p>
    <w:p>
      <w:pPr>
        <w:spacing w:after="0" w:line="203" w:lineRule="exact"/>
        <w:rPr>
          <w:sz w:val="20"/>
          <w:szCs w:val="20"/>
          <w:color w:val="auto"/>
        </w:rPr>
      </w:pPr>
    </w:p>
    <w:p>
      <w:pPr>
        <w:ind w:left="652" w:right="60"/>
        <w:spacing w:after="0" w:line="262" w:lineRule="auto"/>
        <w:rPr>
          <w:sz w:val="20"/>
          <w:szCs w:val="20"/>
          <w:color w:val="auto"/>
        </w:rPr>
      </w:pPr>
      <w:r>
        <w:rPr>
          <w:rFonts w:ascii="Arial" w:cs="Arial" w:eastAsia="Arial" w:hAnsi="Arial"/>
          <w:sz w:val="18"/>
          <w:szCs w:val="18"/>
          <w:color w:val="auto"/>
        </w:rPr>
        <w:t>The Internal Rate of Return (IRR) for the limited partner from inception to September 30, 2023, is -25.39%. The IRR for the previous fiscal year ending September 30, 2022, was -6.02%. The IRR was computed based on the actual dates of the cash inflows (capital contributions), outflows (distributions), and the ending net assets at the end of the period (residual value) of the limited partner’s capital account. These may not be indicative of the future performance of the Partnership.</w:t>
      </w:r>
    </w:p>
    <w:p>
      <w:pPr>
        <w:spacing w:after="0" w:line="203" w:lineRule="exact"/>
        <w:rPr>
          <w:sz w:val="20"/>
          <w:szCs w:val="20"/>
          <w:color w:val="auto"/>
        </w:rPr>
      </w:pPr>
    </w:p>
    <w:p>
      <w:pPr>
        <w:ind w:left="512" w:hanging="512"/>
        <w:spacing w:after="0"/>
        <w:tabs>
          <w:tab w:leader="none" w:pos="512"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Risk Management</w:t>
      </w:r>
    </w:p>
    <w:p>
      <w:pPr>
        <w:spacing w:after="0" w:line="252" w:lineRule="exact"/>
        <w:rPr>
          <w:sz w:val="20"/>
          <w:szCs w:val="20"/>
          <w:color w:val="auto"/>
        </w:rPr>
      </w:pPr>
    </w:p>
    <w:p>
      <w:pPr>
        <w:ind w:left="652" w:right="440"/>
        <w:spacing w:after="0" w:line="268" w:lineRule="auto"/>
        <w:rPr>
          <w:sz w:val="20"/>
          <w:szCs w:val="20"/>
          <w:color w:val="auto"/>
        </w:rPr>
      </w:pPr>
      <w:r>
        <w:rPr>
          <w:rFonts w:ascii="Arial" w:cs="Arial" w:eastAsia="Arial" w:hAnsi="Arial"/>
          <w:sz w:val="18"/>
          <w:szCs w:val="18"/>
          <w:color w:val="auto"/>
        </w:rPr>
        <w:t>In the ordinary course of business, the Partnership manages a variety of risks, including market risk and liquidity risk. The Partnership seeks to identify and monitor risk through diversification of exposures and activities across a variety of instruments, markets, and counterparties.</w:t>
      </w:r>
    </w:p>
    <w:p>
      <w:pPr>
        <w:spacing w:after="0" w:line="198" w:lineRule="exact"/>
        <w:rPr>
          <w:sz w:val="20"/>
          <w:szCs w:val="20"/>
          <w:color w:val="auto"/>
        </w:rPr>
      </w:pPr>
    </w:p>
    <w:p>
      <w:pPr>
        <w:ind w:left="652" w:right="120"/>
        <w:spacing w:after="0" w:line="287" w:lineRule="auto"/>
        <w:rPr>
          <w:sz w:val="20"/>
          <w:szCs w:val="20"/>
          <w:color w:val="auto"/>
        </w:rPr>
      </w:pPr>
      <w:r>
        <w:rPr>
          <w:rFonts w:ascii="Arial" w:cs="Arial" w:eastAsia="Arial" w:hAnsi="Arial"/>
          <w:sz w:val="18"/>
          <w:szCs w:val="18"/>
          <w:color w:val="auto"/>
        </w:rPr>
        <w:t>Market risk is the risk of potentially adverse changes to the value of financial instruments. The Partnership manages its exposure to market risk through various risk management strategies.</w:t>
      </w:r>
    </w:p>
    <w:p>
      <w:pPr>
        <w:spacing w:after="0" w:line="180" w:lineRule="exact"/>
        <w:rPr>
          <w:sz w:val="20"/>
          <w:szCs w:val="20"/>
          <w:color w:val="auto"/>
        </w:rPr>
      </w:pPr>
    </w:p>
    <w:p>
      <w:pPr>
        <w:ind w:left="652" w:right="180"/>
        <w:spacing w:after="0" w:line="268" w:lineRule="auto"/>
        <w:rPr>
          <w:sz w:val="20"/>
          <w:szCs w:val="20"/>
          <w:color w:val="auto"/>
        </w:rPr>
      </w:pPr>
      <w:r>
        <w:rPr>
          <w:rFonts w:ascii="Arial" w:cs="Arial" w:eastAsia="Arial" w:hAnsi="Arial"/>
          <w:sz w:val="18"/>
          <w:szCs w:val="18"/>
          <w:color w:val="auto"/>
        </w:rPr>
        <w:t>Liquidity risk is the risk that the Partnership may not be able to sell assets when it desires to do so or to realize what it estimates to be its fair value in the event of a sale. The sale of illiquid assets and restricted securities often requires more time and results in higher selling expenses than does the sale of securities</w:t>
      </w:r>
    </w:p>
    <w:p>
      <w:pPr>
        <w:sectPr>
          <w:pgSz w:w="11900" w:h="16838" w:orient="portrait"/>
          <w:cols w:equalWidth="0" w:num="1">
            <w:col w:w="11192"/>
          </w:cols>
          <w:pgMar w:left="328" w:top="121" w:right="379" w:bottom="1440" w:gutter="0" w:footer="0" w:header="0"/>
        </w:sectPr>
      </w:pPr>
    </w:p>
    <w:bookmarkStart w:id="120" w:name="page121"/>
    <w:bookmarkEnd w:id="120"/>
    <w:p>
      <w:pPr>
        <w:jc w:val="center"/>
        <w:ind w:right="-51"/>
        <w:spacing w:after="0"/>
        <w:rPr>
          <w:sz w:val="20"/>
          <w:szCs w:val="20"/>
          <w:color w:val="auto"/>
        </w:rPr>
      </w:pPr>
      <w:r>
        <w:rPr>
          <w:rFonts w:ascii="Arial" w:cs="Arial" w:eastAsia="Arial" w:hAnsi="Arial"/>
          <w:sz w:val="18"/>
          <w:szCs w:val="18"/>
          <w:b w:val="1"/>
          <w:bCs w:val="1"/>
          <w:color w:val="auto"/>
        </w:rPr>
        <w:t>MEDICI VENTURES, L.P.</w:t>
      </w:r>
    </w:p>
    <w:p>
      <w:pPr>
        <w:spacing w:after="0" w:line="2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(A Delaware Limited Partnership)</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52" w:right="420"/>
        <w:spacing w:after="0" w:line="287" w:lineRule="auto"/>
        <w:rPr>
          <w:sz w:val="20"/>
          <w:szCs w:val="20"/>
          <w:color w:val="auto"/>
        </w:rPr>
      </w:pPr>
      <w:r>
        <w:rPr>
          <w:rFonts w:ascii="Arial" w:cs="Arial" w:eastAsia="Arial" w:hAnsi="Arial"/>
          <w:sz w:val="18"/>
          <w:szCs w:val="18"/>
          <w:color w:val="auto"/>
        </w:rPr>
        <w:t>eligible for trading on national securities exchanges or on the over-the-counter markets. Restricted securities may sell at a price lower than similar securities that are not subject to a restriction on resale.</w:t>
      </w:r>
    </w:p>
    <w:p>
      <w:pPr>
        <w:spacing w:after="0" w:line="180" w:lineRule="exact"/>
        <w:rPr>
          <w:sz w:val="20"/>
          <w:szCs w:val="20"/>
          <w:color w:val="auto"/>
        </w:rPr>
      </w:pPr>
    </w:p>
    <w:p>
      <w:pPr>
        <w:ind w:left="652"/>
        <w:spacing w:after="0" w:line="257" w:lineRule="auto"/>
        <w:rPr>
          <w:sz w:val="20"/>
          <w:szCs w:val="20"/>
          <w:color w:val="auto"/>
        </w:rPr>
      </w:pPr>
      <w:r>
        <w:rPr>
          <w:rFonts w:ascii="Arial" w:cs="Arial" w:eastAsia="Arial" w:hAnsi="Arial"/>
          <w:sz w:val="18"/>
          <w:szCs w:val="18"/>
          <w:color w:val="auto"/>
        </w:rPr>
        <w:t>The Partnership has provided general indemnifications to officers, directors, members, employees, and agents of the General Partners, when they act, in good faith, in the best interests of the Partnership. Such indemnifications provided by the Partnership are subordinate to the liability coverage carried by the General Partner and should serve to mitigate any potential liability which may arise at the Partnership level. The Partnership is unable to develop an estimate of the maximum potential amount of future payments that could potentially result from any hypothetical future claim but expects the risk of having to make significant payments under these general business indemnifications to be remote.</w:t>
      </w:r>
    </w:p>
    <w:p>
      <w:pPr>
        <w:spacing w:after="0" w:line="209" w:lineRule="exact"/>
        <w:rPr>
          <w:sz w:val="20"/>
          <w:szCs w:val="20"/>
          <w:color w:val="auto"/>
        </w:rPr>
      </w:pPr>
    </w:p>
    <w:p>
      <w:pPr>
        <w:ind w:left="512" w:hanging="512"/>
        <w:spacing w:after="0"/>
        <w:tabs>
          <w:tab w:leader="none" w:pos="51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2" w:lineRule="exact"/>
        <w:rPr>
          <w:sz w:val="20"/>
          <w:szCs w:val="20"/>
          <w:color w:val="auto"/>
        </w:rPr>
      </w:pPr>
    </w:p>
    <w:p>
      <w:pPr>
        <w:jc w:val="both"/>
        <w:ind w:left="652" w:right="160"/>
        <w:spacing w:after="0" w:line="268" w:lineRule="auto"/>
        <w:rPr>
          <w:sz w:val="20"/>
          <w:szCs w:val="20"/>
          <w:color w:val="auto"/>
        </w:rPr>
      </w:pPr>
      <w:r>
        <w:rPr>
          <w:rFonts w:ascii="Arial" w:cs="Arial" w:eastAsia="Arial" w:hAnsi="Arial"/>
          <w:sz w:val="18"/>
          <w:szCs w:val="18"/>
          <w:color w:val="auto"/>
        </w:rPr>
        <w:t>The Partnership has evaluated subsequent events through December 21, 2023, the date the financial statements were available to be issued, and except for the matters disclosed above, did not note any items that would adjust the financial statements or require disclosure.</w:t>
      </w:r>
    </w:p>
    <w:sectPr>
      <w:pgSz w:w="11900" w:h="16838" w:orient="portrait"/>
      <w:cols w:equalWidth="0" w:num="1">
        <w:col w:w="11192"/>
      </w:cols>
      <w:pgMar w:left="328" w:top="12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o"/>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1)"/>
      <w:numFmt w:val="decimal"/>
      <w:start w:val="1"/>
    </w:lvl>
  </w:abstractNum>
  <w:abstractNum w:abstractNumId="12">
    <w:nsid w:val="153EA438"/>
    <w:multiLevelType w:val="hybridMultilevel"/>
    <w:lvl w:ilvl="0">
      <w:lvlJc w:val="left"/>
      <w:lvlText w:val="(%1)"/>
      <w:numFmt w:val="decimal"/>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1)"/>
      <w:numFmt w:val="lowerRoman"/>
      <w:start w:val="4"/>
    </w:lvl>
  </w:abstractNum>
  <w:abstractNum w:abstractNumId="16">
    <w:nsid w:val="2A487CB0"/>
    <w:multiLevelType w:val="hybridMultilevel"/>
    <w:lvl w:ilvl="0">
      <w:lvlJc w:val="left"/>
      <w:lvlText w:val="%1)"/>
      <w:numFmt w:val="decimal"/>
      <w:start w:val="1"/>
    </w:lvl>
  </w:abstractNum>
  <w:abstractNum w:abstractNumId="17">
    <w:nsid w:val="1D4ED43B"/>
    <w:multiLevelType w:val="hybridMultilevel"/>
    <w:lvl w:ilvl="0">
      <w:lvlJc w:val="left"/>
      <w:lvlText w:val="(%1)"/>
      <w:numFmt w:val="decimal"/>
      <w:start w:val="1"/>
    </w:lvl>
  </w:abstractNum>
  <w:abstractNum w:abstractNumId="18">
    <w:nsid w:val="725A06FB"/>
    <w:multiLevelType w:val="hybridMultilevel"/>
    <w:lvl w:ilvl="0">
      <w:lvlJc w:val="left"/>
      <w:lvlText w:val="(%1)"/>
      <w:numFmt w:val="decimal"/>
      <w:start w:val="1"/>
    </w:lvl>
  </w:abstractNum>
  <w:abstractNum w:abstractNumId="19">
    <w:nsid w:val="2CD89A32"/>
    <w:multiLevelType w:val="hybridMultilevel"/>
    <w:lvl w:ilvl="0">
      <w:lvlJc w:val="left"/>
      <w:lvlText w:val="%1"/>
      <w:numFmt w:val="decimal"/>
      <w:start w:val="1"/>
    </w:lvl>
    <w:lvl w:ilvl="1">
      <w:lvlJc w:val="left"/>
      <w:lvlText w:val="(%2)"/>
      <w:numFmt w:val="decimal"/>
      <w:start w:val="1"/>
    </w:lvl>
  </w:abstractNum>
  <w:abstractNum w:abstractNumId="20">
    <w:nsid w:val="57E4CCAF"/>
    <w:multiLevelType w:val="hybridMultilevel"/>
    <w:lvl w:ilvl="0">
      <w:lvlJc w:val="left"/>
      <w:lvlText w:val="%1."/>
      <w:numFmt w:val="decimal"/>
      <w:start w:val="10"/>
    </w:lvl>
    <w:lvl w:ilvl="1">
      <w:lvlJc w:val="left"/>
      <w:lvlText w:val="%2"/>
      <w:numFmt w:val="decimal"/>
      <w:start w:val="1"/>
    </w:lvl>
  </w:abstractNum>
  <w:abstractNum w:abstractNumId="21">
    <w:nsid w:val="7A6D8D3C"/>
    <w:multiLevelType w:val="hybridMultilevel"/>
    <w:lvl w:ilvl="0">
      <w:lvlJc w:val="left"/>
      <w:lvlText w:val="(%1)"/>
      <w:numFmt w:val="decimal"/>
      <w:start w:val="1"/>
    </w:lvl>
  </w:abstractNum>
  <w:abstractNum w:abstractNumId="22">
    <w:nsid w:val="4B588F54"/>
    <w:multiLevelType w:val="hybridMultilevel"/>
    <w:lvl w:ilvl="0">
      <w:lvlJc w:val="left"/>
      <w:lvlText w:val="%1."/>
      <w:numFmt w:val="decimal"/>
      <w:start w:val="740"/>
    </w:lvl>
  </w:abstractNum>
  <w:abstractNum w:abstractNumId="23">
    <w:nsid w:val="542289EC"/>
    <w:multiLevelType w:val="hybridMultilevel"/>
    <w:lvl w:ilvl="0">
      <w:lvlJc w:val="left"/>
      <w:lvlText w:val="(%1)"/>
      <w:numFmt w:val="decimal"/>
      <w:start w:val="1"/>
    </w:lvl>
  </w:abstractNum>
  <w:abstractNum w:abstractNumId="24">
    <w:nsid w:val="6DE91B18"/>
    <w:multiLevelType w:val="hybridMultilevel"/>
    <w:lvl w:ilvl="0">
      <w:lvlJc w:val="left"/>
      <w:lvlText w:val="(%1)"/>
      <w:numFmt w:val="decimal"/>
      <w:start w:val="2"/>
    </w:lvl>
  </w:abstractNum>
  <w:abstractNum w:abstractNumId="25">
    <w:nsid w:val="38437FDB"/>
    <w:multiLevelType w:val="hybridMultilevel"/>
    <w:lvl w:ilvl="0">
      <w:lvlJc w:val="left"/>
      <w:lvlText w:val="(%1)"/>
      <w:numFmt w:val="decimal"/>
      <w:start w:val="3"/>
    </w:lvl>
  </w:abstractNum>
  <w:abstractNum w:abstractNumId="26">
    <w:nsid w:val="7644A45C"/>
    <w:multiLevelType w:val="hybridMultilevel"/>
    <w:lvl w:ilvl="0">
      <w:lvlJc w:val="left"/>
      <w:lvlText w:val="(%1)"/>
      <w:numFmt w:val="lowerRoman"/>
      <w:start w:val="2"/>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1."/>
      <w:numFmt w:val="decimal"/>
      <w:start w:val="1"/>
    </w:lvl>
    <w:lvl w:ilvl="1">
      <w:lvlJc w:val="left"/>
      <w:lvlText w:val="%2."/>
      <w:numFmt w:val="lowerLetter"/>
      <w:start w:val="1"/>
    </w:lvl>
  </w:abstractNum>
  <w:abstractNum w:abstractNumId="29">
    <w:nsid w:val="579478FE"/>
    <w:multiLevelType w:val="hybridMultilevel"/>
    <w:lvl w:ilvl="0">
      <w:lvlJc w:val="left"/>
      <w:lvlText w:val="%1."/>
      <w:numFmt w:val="decimal"/>
      <w:start w:val="1"/>
    </w:lvl>
    <w:lvl w:ilvl="1">
      <w:lvlJc w:val="left"/>
      <w:lvlText w:val="%2."/>
      <w:numFmt w:val="lowerLetter"/>
      <w:start w:val="1"/>
    </w:lvl>
  </w:abstractNum>
  <w:abstractNum w:abstractNumId="30">
    <w:nsid w:val="749ABB43"/>
    <w:multiLevelType w:val="hybridMultilevel"/>
    <w:lvl w:ilvl="0">
      <w:lvlJc w:val="left"/>
      <w:lvlText w:val="%1."/>
      <w:numFmt w:val="decimal"/>
      <w:start w:val="1"/>
    </w:lvl>
    <w:lvl w:ilvl="1">
      <w:lvlJc w:val="left"/>
      <w:lvlText w:val="%2."/>
      <w:numFmt w:val="lowerLetter"/>
      <w:start w:val="1"/>
    </w:lvl>
  </w:abstractNum>
  <w:abstractNum w:abstractNumId="31">
    <w:nsid w:val="3DC240FB"/>
    <w:multiLevelType w:val="hybridMultilevel"/>
    <w:lvl w:ilvl="0">
      <w:lvlJc w:val="left"/>
      <w:lvlText w:val="%1."/>
      <w:numFmt w:val="decimal"/>
      <w:start w:val="1"/>
    </w:lvl>
  </w:abstractNum>
  <w:abstractNum w:abstractNumId="32">
    <w:nsid w:val="1BA026FA"/>
    <w:multiLevelType w:val="hybridMultilevel"/>
    <w:lvl w:ilvl="0">
      <w:lvlJc w:val="left"/>
      <w:lvlText w:val="%1."/>
      <w:numFmt w:val="decimal"/>
      <w:start w:val="2"/>
    </w:lvl>
  </w:abstractNum>
  <w:abstractNum w:abstractNumId="33">
    <w:nsid w:val="79A1DEAA"/>
    <w:multiLevelType w:val="hybridMultilevel"/>
    <w:lvl w:ilvl="0">
      <w:lvlJc w:val="left"/>
      <w:lvlText w:val="%1."/>
      <w:numFmt w:val="decimal"/>
      <w:start w:val="3"/>
    </w:lvl>
  </w:abstractNum>
  <w:abstractNum w:abstractNumId="34">
    <w:nsid w:val="75C6C33A"/>
    <w:multiLevelType w:val="hybridMultilevel"/>
    <w:lvl w:ilvl="0">
      <w:lvlJc w:val="left"/>
      <w:lvlText w:val="(%1)"/>
      <w:numFmt w:val="lowerLetter"/>
      <w:start w:val="1"/>
    </w:lvl>
  </w:abstractNum>
  <w:abstractNum w:abstractNumId="35">
    <w:nsid w:val="12E685FB"/>
    <w:multiLevelType w:val="hybridMultilevel"/>
    <w:lvl w:ilvl="0">
      <w:lvlJc w:val="left"/>
      <w:lvlText w:val="(%1)"/>
      <w:numFmt w:val="lowerLetter"/>
      <w:start w:val="11"/>
    </w:lvl>
  </w:abstractNum>
  <w:abstractNum w:abstractNumId="36">
    <w:nsid w:val="70C6A529"/>
    <w:multiLevelType w:val="hybridMultilevel"/>
    <w:lvl w:ilvl="0">
      <w:lvlJc w:val="left"/>
      <w:lvlText w:val="%1."/>
      <w:numFmt w:val="decimal"/>
      <w:start w:val="4"/>
    </w:lvl>
  </w:abstractNum>
  <w:abstractNum w:abstractNumId="37">
    <w:nsid w:val="520EEDD1"/>
    <w:multiLevelType w:val="hybridMultilevel"/>
    <w:lvl w:ilvl="0">
      <w:lvlJc w:val="left"/>
      <w:lvlText w:val="(%1)"/>
      <w:numFmt w:val="lowerLetter"/>
      <w:start w:val="1"/>
    </w:lvl>
  </w:abstractNum>
  <w:abstractNum w:abstractNumId="38">
    <w:nsid w:val="374A3FE6"/>
    <w:multiLevelType w:val="hybridMultilevel"/>
    <w:lvl w:ilvl="0">
      <w:lvlJc w:val="left"/>
      <w:lvlText w:val="%1"/>
      <w:numFmt w:val="decimal"/>
      <w:start w:val="1"/>
    </w:lvl>
    <w:lvl w:ilvl="1">
      <w:lvlJc w:val="left"/>
      <w:lvlText w:val="(%2)"/>
      <w:numFmt w:val="lowerRoman"/>
      <w:start w:val="1"/>
    </w:lvl>
  </w:abstractNum>
  <w:abstractNum w:abstractNumId="39">
    <w:nsid w:val="4F4EF005"/>
    <w:multiLevelType w:val="hybridMultilevel"/>
    <w:lvl w:ilvl="0">
      <w:lvlJc w:val="left"/>
      <w:lvlText w:val="%1."/>
      <w:numFmt w:val="decimal"/>
      <w:start w:val="5"/>
    </w:lvl>
    <w:lvl w:ilvl="1">
      <w:lvlJc w:val="left"/>
      <w:lvlText w:val="%2"/>
      <w:numFmt w:val="lowerRoman"/>
      <w:start w:val="1"/>
    </w:lvl>
  </w:abstractNum>
  <w:abstractNum w:abstractNumId="40">
    <w:nsid w:val="23F9C13C"/>
    <w:multiLevelType w:val="hybridMultilevel"/>
    <w:lvl w:ilvl="0">
      <w:lvlJc w:val="left"/>
      <w:lvlText w:val="%1."/>
      <w:numFmt w:val="decimal"/>
      <w:start w:val="6"/>
    </w:lvl>
  </w:abstractNum>
  <w:abstractNum w:abstractNumId="41">
    <w:nsid w:val="649BB77C"/>
    <w:multiLevelType w:val="hybridMultilevel"/>
    <w:lvl w:ilvl="0">
      <w:lvlJc w:val="left"/>
      <w:lvlText w:val="%1."/>
      <w:numFmt w:val="decimal"/>
      <w:start w:val="7"/>
    </w:lvl>
  </w:abstractNum>
  <w:abstractNum w:abstractNumId="42">
    <w:nsid w:val="275AC794"/>
    <w:multiLevelType w:val="hybridMultilevel"/>
    <w:lvl w:ilvl="0">
      <w:lvlJc w:val="left"/>
      <w:lvlText w:val="%1."/>
      <w:numFmt w:val="decimal"/>
      <w:start w:val="8"/>
    </w:lvl>
  </w:abstractNum>
  <w:abstractNum w:abstractNumId="43">
    <w:nsid w:val="39386575"/>
    <w:multiLevelType w:val="hybridMultilevel"/>
    <w:lvl w:ilvl="0">
      <w:lvlJc w:val="left"/>
      <w:lvlText w:val="%1."/>
      <w:numFmt w:val="decimal"/>
      <w:start w:val="9"/>
    </w:lvl>
  </w:abstractNum>
  <w:abstractNum w:abstractNumId="44">
    <w:nsid w:val="1CF10FD8"/>
    <w:multiLevelType w:val="hybridMultilevel"/>
    <w:lvl w:ilvl="0">
      <w:lvlJc w:val="left"/>
      <w:lvlText w:val="%1."/>
      <w:numFmt w:val="decimal"/>
      <w:start w:val="10"/>
    </w:lvl>
  </w:abstractNum>
  <w:abstractNum w:abstractNumId="45">
    <w:nsid w:val="180115BE"/>
    <w:multiLevelType w:val="hybridMultilevel"/>
    <w:lvl w:ilvl="0">
      <w:lvlJc w:val="left"/>
      <w:lvlText w:val="%1."/>
      <w:numFmt w:val="decimal"/>
      <w:start w:val="11"/>
    </w:lvl>
  </w:abstractNum>
  <w:abstractNum w:abstractNumId="46">
    <w:nsid w:val="235BA861"/>
    <w:multiLevelType w:val="hybridMultilevel"/>
    <w:lvl w:ilvl="0">
      <w:lvlJc w:val="left"/>
      <w:lvlText w:val="%1."/>
      <w:numFmt w:val="decimal"/>
      <w:start w:val="12"/>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1)"/>
      <w:numFmt w:val="decimal"/>
      <w:start w:val="1"/>
    </w:lvl>
  </w:abstractNum>
  <w:abstractNum w:abstractNumId="50">
    <w:nsid w:val="741226BB"/>
    <w:multiLevelType w:val="hybridMultilevel"/>
    <w:lvl w:ilvl="0">
      <w:lvlJc w:val="left"/>
      <w:lvlText w:val="(%1)"/>
      <w:numFmt w:val="decimal"/>
      <w:start w:val="1"/>
    </w:lvl>
  </w:abstractNum>
  <w:abstractNum w:abstractNumId="51">
    <w:nsid w:val="D34B6A8"/>
    <w:multiLevelType w:val="hybridMultilevel"/>
    <w:lvl w:ilvl="0">
      <w:lvlJc w:val="left"/>
      <w:lvlText w:val="(%1)"/>
      <w:numFmt w:val="decimal"/>
      <w:start w:val="2"/>
    </w:lvl>
    <w:lvl w:ilvl="1">
      <w:lvlJc w:val="left"/>
      <w:lvlText w:val="(%2)"/>
      <w:numFmt w:val="lowerLetter"/>
      <w:start w:val="1"/>
    </w:lvl>
  </w:abstractNum>
  <w:abstractNum w:abstractNumId="52">
    <w:nsid w:val="10233C99"/>
    <w:multiLevelType w:val="hybridMultilevel"/>
    <w:lvl w:ilvl="0">
      <w:lvlJc w:val="left"/>
      <w:lvlText w:val="(%1)"/>
      <w:numFmt w:val="lowerLetter"/>
      <w:start w:val="2"/>
    </w:lvl>
  </w:abstractNum>
  <w:abstractNum w:abstractNumId="53">
    <w:nsid w:val="3F6AB60F"/>
    <w:multiLevelType w:val="hybridMultilevel"/>
    <w:lvl w:ilvl="0">
      <w:lvlJc w:val="left"/>
      <w:lvlText w:val="(%1)"/>
      <w:numFmt w:val="lowerLetter"/>
      <w:start w:val="3"/>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1)"/>
      <w:numFmt w:val="lowerLetter"/>
      <w:start w:val="4"/>
    </w:lvl>
  </w:abstractNum>
  <w:abstractNum w:abstractNumId="56">
    <w:nsid w:val="77AE35EB"/>
    <w:multiLevelType w:val="hybridMultilevel"/>
    <w:lvl w:ilvl="0">
      <w:lvlJc w:val="left"/>
      <w:lvlText w:val="(%1)"/>
      <w:numFmt w:val="lowerLetter"/>
      <w:start w:val="5"/>
    </w:lvl>
  </w:abstractNum>
  <w:abstractNum w:abstractNumId="57">
    <w:nsid w:val="579BE4F1"/>
    <w:multiLevelType w:val="hybridMultilevel"/>
    <w:lvl w:ilvl="0">
      <w:lvlJc w:val="left"/>
      <w:lvlText w:val="(%1)"/>
      <w:numFmt w:val="lowerLetter"/>
      <w:start w:val="6"/>
    </w:lvl>
  </w:abstractNum>
  <w:abstractNum w:abstractNumId="58">
    <w:nsid w:val="310C50B3"/>
    <w:multiLevelType w:val="hybridMultilevel"/>
    <w:lvl w:ilvl="0">
      <w:lvlJc w:val="left"/>
      <w:lvlText w:val="(%1)"/>
      <w:numFmt w:val="lowerLetter"/>
      <w:start w:val="7"/>
    </w:lvl>
  </w:abstractNum>
  <w:abstractNum w:abstractNumId="59">
    <w:nsid w:val="5FF87E05"/>
    <w:multiLevelType w:val="hybridMultilevel"/>
    <w:lvl w:ilvl="0">
      <w:lvlJc w:val="left"/>
      <w:lvlText w:val="(%1)"/>
      <w:numFmt w:val="decimal"/>
      <w:start w:val="3"/>
    </w:lvl>
  </w:abstractNum>
  <w:abstractNum w:abstractNumId="60">
    <w:nsid w:val="2F305DEF"/>
    <w:multiLevelType w:val="hybridMultilevel"/>
    <w:lvl w:ilvl="0">
      <w:lvlJc w:val="left"/>
      <w:lvlText w:val="(%1)"/>
      <w:numFmt w:val="decimal"/>
      <w:start w:val="4"/>
    </w:lvl>
  </w:abstractNum>
  <w:abstractNum w:abstractNumId="61">
    <w:nsid w:val="25A70BF7"/>
    <w:multiLevelType w:val="hybridMultilevel"/>
    <w:lvl w:ilvl="0">
      <w:lvlJc w:val="left"/>
      <w:lvlText w:val="(%1)"/>
      <w:numFmt w:val="decimal"/>
      <w:start w:val="5"/>
    </w:lvl>
  </w:abstractNum>
  <w:abstractNum w:abstractNumId="62">
    <w:nsid w:val="1DBABF00"/>
    <w:multiLevelType w:val="hybridMultilevel"/>
    <w:lvl w:ilvl="0">
      <w:lvlJc w:val="left"/>
      <w:lvlText w:val="(%1)"/>
      <w:numFmt w:val="decimal"/>
      <w:start w:val="6"/>
    </w:lvl>
  </w:abstractNum>
  <w:abstractNum w:abstractNumId="63">
    <w:nsid w:val="4AD084E9"/>
    <w:multiLevelType w:val="hybridMultilevel"/>
    <w:lvl w:ilvl="0">
      <w:lvlJc w:val="left"/>
      <w:lvlText w:val="(%1)"/>
      <w:numFmt w:val="decimal"/>
      <w:start w:val="7"/>
    </w:lvl>
  </w:abstractNum>
  <w:abstractNum w:abstractNumId="64">
    <w:nsid w:val="1F48EAA1"/>
    <w:multiLevelType w:val="hybridMultilevel"/>
    <w:lvl w:ilvl="0">
      <w:lvlJc w:val="left"/>
      <w:lvlText w:val="(%1)"/>
      <w:numFmt w:val="decimal"/>
      <w:start w:val="8"/>
    </w:lvl>
  </w:abstractNum>
  <w:abstractNum w:abstractNumId="65">
    <w:nsid w:val="1381823A"/>
    <w:multiLevelType w:val="hybridMultilevel"/>
    <w:lvl w:ilvl="0">
      <w:lvlJc w:val="left"/>
      <w:lvlText w:val="(%1)"/>
      <w:numFmt w:val="decimal"/>
      <w:start w:val="9"/>
    </w:lvl>
  </w:abstractNum>
  <w:abstractNum w:abstractNumId="66">
    <w:nsid w:val="5DB70AE5"/>
    <w:multiLevelType w:val="hybridMultilevel"/>
    <w:lvl w:ilvl="0">
      <w:lvlJc w:val="left"/>
      <w:lvlText w:val="(%1)"/>
      <w:numFmt w:val="decimal"/>
      <w:start w:val="10"/>
    </w:lvl>
  </w:abstractNum>
  <w:abstractNum w:abstractNumId="67">
    <w:nsid w:val="100F8FCA"/>
    <w:multiLevelType w:val="hybridMultilevel"/>
    <w:lvl w:ilvl="0">
      <w:lvlJc w:val="left"/>
      <w:lvlText w:val="(%1)"/>
      <w:numFmt w:val="decimal"/>
      <w:start w:val="11"/>
    </w:lvl>
  </w:abstractNum>
  <w:abstractNum w:abstractNumId="68">
    <w:nsid w:val="6590700B"/>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16" Type="http://schemas.openxmlformats.org/officeDocument/2006/relationships/image" Target="media/image100.png"/><Relationship Id="rId127" Type="http://schemas.openxmlformats.org/officeDocument/2006/relationships/image" Target="media/image101.png"/><Relationship Id="rId139"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07" Type="http://schemas.openxmlformats.org/officeDocument/2006/relationships/hyperlink" Target="https://www.sec.gov/Archives/edgar/data/1130713/000114036123029505/brhc20054372_ex2-1.htm" TargetMode="External"/><Relationship Id="rId108" Type="http://schemas.openxmlformats.org/officeDocument/2006/relationships/hyperlink" Target="http://www.sec.gov/Archives/edgar/data/1130713/000113071314000051/ex-31certificateofincorpor.htm" TargetMode="External"/><Relationship Id="rId109" Type="http://schemas.openxmlformats.org/officeDocument/2006/relationships/hyperlink" Target="https://www.sec.gov/Archives/edgar/data/1130713/000114036123051490/ef20013966_ex3-2.htm" TargetMode="External"/><Relationship Id="rId110" Type="http://schemas.openxmlformats.org/officeDocument/2006/relationships/hyperlink" Target="https://www.sec.gov/Archives/edgar/data/1130713/000114036123051490/ef20013966_ex3-3.htm" TargetMode="External"/><Relationship Id="rId111" Type="http://schemas.openxmlformats.org/officeDocument/2006/relationships/hyperlink" Target="http://www.sec.gov/Archives/edgar/data/1130713/000091205702018495/a2078361zex-4_1.htm" TargetMode="External"/><Relationship Id="rId112" Type="http://schemas.openxmlformats.org/officeDocument/2006/relationships/hyperlink" Target="https://www.sec.gov/Archives/edgar/data/1130713/000113071323000014/ostk-20221231xexx42.htm" TargetMode="External"/><Relationship Id="rId113" Type="http://schemas.openxmlformats.org/officeDocument/2006/relationships/hyperlink" Target="http://www.sec.gov/Archives/edgar/data/1130713/000113071319000016/ostk-20181231xexx101a.htm" TargetMode="External"/><Relationship Id="rId114" Type="http://schemas.openxmlformats.org/officeDocument/2006/relationships/hyperlink" Target="https://www.sec.gov/Archives/edgar/data/1130713/000113071323000036/amendedandrestated2005equi.htm" TargetMode="External"/><Relationship Id="rId115" Type="http://schemas.openxmlformats.org/officeDocument/2006/relationships/hyperlink" Target="http://www.sec.gov/Archives/edgar/data/1130713/000104746913001400/a2212820zex-10_12.htm" TargetMode="External"/><Relationship Id="rId117" Type="http://schemas.openxmlformats.org/officeDocument/2006/relationships/hyperlink" Target="http://www.sec.gov/Archives/edgar/data/1130713/000113071314000033/ex101-purchaseandsaleagree.htm" TargetMode="External"/><Relationship Id="rId118" Type="http://schemas.openxmlformats.org/officeDocument/2006/relationships/hyperlink" Target="http://www.sec.gov/Archives/edgar/data/1130713/000113071314000055/ex-101purchandsaleagreemen.htm" TargetMode="External"/><Relationship Id="rId119" Type="http://schemas.openxmlformats.org/officeDocument/2006/relationships/hyperlink" Target="http://www.sec.gov/Archives/edgar/data/1130713/000113071314000060/ex-101purchandsaleagreemen.htm" TargetMode="External"/><Relationship Id="rId120" Type="http://schemas.openxmlformats.org/officeDocument/2006/relationships/hyperlink" Target="http://www.sec.gov/Archives/edgar/data/1130713/000113071314000033/ex102-projectmanagementagr.htm" TargetMode="External"/><Relationship Id="rId121" Type="http://schemas.openxmlformats.org/officeDocument/2006/relationships/hyperlink" Target="http://www.sec.gov/Archives/edgar/data/1130713/000113071314000062/ex-101landpurch1sep14.htm" TargetMode="External"/><Relationship Id="rId122" Type="http://schemas.openxmlformats.org/officeDocument/2006/relationships/hyperlink" Target="http://www.sec.gov/Archives/edgar/data/1130713/000110465914074251/a14-23077_1ex10d19.htm" TargetMode="External"/><Relationship Id="rId123" Type="http://schemas.openxmlformats.org/officeDocument/2006/relationships/hyperlink" Target="https://www.sec.gov/Archives/edgar/data/1130713/000113071320000014/ostk-20191231xexx1016a.htm" TargetMode="External"/><Relationship Id="rId124" Type="http://schemas.openxmlformats.org/officeDocument/2006/relationships/hyperlink" Target="https://www.sec.gov/Archives/edgar/data/1130713/000110465920077647/tm2021032d3_ex1-1.htm" TargetMode="External"/><Relationship Id="rId125" Type="http://schemas.openxmlformats.org/officeDocument/2006/relationships/hyperlink" Target="https://www.sec.gov/Archives/edgar/data/1130713/000110465920032488/a20-12286_1ex10d1.htm" TargetMode="External"/><Relationship Id="rId126" Type="http://schemas.openxmlformats.org/officeDocument/2006/relationships/hyperlink" Target="https://www.sec.gov/Archives/edgar/data/1130713/000110465920032488/a20-12286_1ex10d2.htm" TargetMode="External"/><Relationship Id="rId128" Type="http://schemas.openxmlformats.org/officeDocument/2006/relationships/hyperlink" Target="https://www.sec.gov/Archives/edgar/data/1130713/000110465920032488/a20-12286_1ex10d3.htm" TargetMode="External"/><Relationship Id="rId129" Type="http://schemas.openxmlformats.org/officeDocument/2006/relationships/hyperlink" Target="https://www.sec.gov/Archives/edgar/data/1130713/000110465920032488/a20-12286_1ex10d4.htm" TargetMode="External"/><Relationship Id="rId130" Type="http://schemas.openxmlformats.org/officeDocument/2006/relationships/hyperlink" Target="https://www.sec.gov/Archives/edgar/data/1130713/000113071323000020/overstockcominckeyemploy.htm" TargetMode="External"/><Relationship Id="rId131" Type="http://schemas.openxmlformats.org/officeDocument/2006/relationships/hyperlink" Target="https://www.sec.gov/Archives/edgar/data/0001130713/000119312521016477/d83997dex101.htm" TargetMode="External"/><Relationship Id="rId132" Type="http://schemas.openxmlformats.org/officeDocument/2006/relationships/hyperlink" Target="https://www.sec.gov/Archives/edgar/data/0001130713/000119312521130399/d150210dex101.htm" TargetMode="External"/><Relationship Id="rId133" Type="http://schemas.openxmlformats.org/officeDocument/2006/relationships/hyperlink" Target="https://www.sec.gov/Archives/edgar/data/1130713/000113071321000051/ostk-20210930xexx101.htm" TargetMode="External"/><Relationship Id="rId134" Type="http://schemas.openxmlformats.org/officeDocument/2006/relationships/hyperlink" Target="https://www.sec.gov/Archives/edgar/data/1130713/000119312521093428/d53847ddef14a.htm#toc53847_69" TargetMode="External"/><Relationship Id="rId135" Type="http://schemas.openxmlformats.org/officeDocument/2006/relationships/hyperlink" Target="https://www.sec.gov/Archives/edgar/data/1130713/000114036123051569/ef20014121_ex10-1.htm" TargetMode="External"/><Relationship Id="rId136" Type="http://schemas.openxmlformats.org/officeDocument/2006/relationships/hyperlink" Target="https://www.sec.gov/Archives/edgar/data/1130713/000113071323000047/ostk-20221231xexx232.htm" TargetMode="External"/><Relationship Id="rId137" Type="http://schemas.openxmlformats.org/officeDocument/2006/relationships/hyperlink" Target="https://www.sec.gov/Archives/edgar/data/1130713/000113071323000047/ostk-20221231xexx233.htm" TargetMode="External"/><Relationship Id="rId138" Type="http://schemas.openxmlformats.org/officeDocument/2006/relationships/hyperlink" Target="https://www.sec.gov/Archives/edgar/data/1130713/000113071323000047/ostk-20221231xexx234.htm" TargetMode="External"/><Relationship Id="rId140" Type="http://schemas.openxmlformats.org/officeDocument/2006/relationships/hyperlink" Target="https://www.sec.gov/Archives/edgar/data/1130713/000113071323000014/ostk-20221231xexx991.htm" TargetMode="External"/><Relationship Id="rId141" Type="http://schemas.openxmlformats.org/officeDocument/2006/relationships/hyperlink" Target="https://www.sec.gov/Archives/edgar/data/1130713/000113071323000014/ostk-20221231xexx992.htm" TargetMode="External"/><Relationship Id="rId142" Type="http://schemas.openxmlformats.org/officeDocument/2006/relationships/hyperlink" Target="https://www.sec.gov/Archives/edgar/data/1130713/000113071323000047/ostk-20221231xexx9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2024-02-23T07:17:53Z</dcterms:created>
  <dcterms:modified xsi:type="dcterms:W3CDTF">2024-02-23T07:17:53Z</dcterms:modified>
</cp:coreProperties>
</file>