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rPr/>
      </w:pPr>
      <w:r>
        <w:rPr>
          <w:color w:val="000000"/>
        </w:rPr>
        <w:t> </w:t>
      </w:r>
      <w:r>
        <w:rPr>
          <w:rFonts w:ascii="Times New Roman;sans-serif" w:hAnsi="Times New Roman;sans-serif"/>
          <w:b/>
          <w:color w:val="000000"/>
          <w:sz w:val="18"/>
        </w:rPr>
        <w:t xml:space="preserve">For the quarterly period ended June 30, 2023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000-49799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OVERSTOCK.COM,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tbl>
      <w:tblPr>
        <w:tblW w:w="7596" w:type="dxa"/>
        <w:jc w:val="left"/>
        <w:tblInd w:w="0" w:type="dxa"/>
        <w:tblLayout w:type="fixed"/>
        <w:tblCellMar>
          <w:top w:w="28" w:type="dxa"/>
          <w:left w:w="28" w:type="dxa"/>
          <w:bottom w:w="28" w:type="dxa"/>
          <w:right w:w="28" w:type="dxa"/>
        </w:tblCellMar>
      </w:tblPr>
      <w:tblGrid>
        <w:gridCol w:w="531"/>
        <w:gridCol w:w="466"/>
        <w:gridCol w:w="466"/>
        <w:gridCol w:w="466"/>
        <w:gridCol w:w="466"/>
        <w:gridCol w:w="466"/>
        <w:gridCol w:w="466"/>
        <w:gridCol w:w="466"/>
        <w:gridCol w:w="491"/>
        <w:gridCol w:w="109"/>
        <w:gridCol w:w="109"/>
        <w:gridCol w:w="109"/>
        <w:gridCol w:w="870"/>
        <w:gridCol w:w="870"/>
        <w:gridCol w:w="1245"/>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87-0634302</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Number)</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799 West Coliseum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Midvale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84047</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947-3100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OSTK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45,203,152 shares of the registrant's common stock, par value $0.0001, are outstanding on July 28,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TO 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2"/>
        <w:gridCol w:w="2442"/>
        <w:gridCol w:w="2450"/>
        <w:gridCol w:w="464"/>
        <w:gridCol w:w="464"/>
        <w:gridCol w:w="670"/>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fc8b555c1ad4d0085e1bc72172b5a14_13">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6">
              <w:r>
                <w:rPr>
                  <w:rStyle w:val="InternetLink"/>
                  <w:rFonts w:ascii="Times New Roman;sans-serif" w:hAnsi="Times New Roman;sans-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6">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9">
              <w:r>
                <w:rPr>
                  <w:rStyle w:val="InternetLink"/>
                  <w:rFonts w:ascii="Times New Roman;sans-serif" w:hAnsi="Times New Roman;sans-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9">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22">
              <w:r>
                <w:rPr>
                  <w:rStyle w:val="InternetLink"/>
                  <w:rFonts w:ascii="Times New Roman;sans-serif" w:hAnsi="Times New Roman;sans-serif"/>
                  <w:b w:val="false"/>
                  <w:color w:val="000080"/>
                  <w:sz w:val="20"/>
                  <w:u w:val="single"/>
                </w:rPr>
                <w:t>Consolidated Statements of</w:t>
              </w:r>
            </w:hyperlink>
            <w:hyperlink w:anchor="i7fc8b555c1ad4d0085e1bc72172b5a14_25">
              <w:r>
                <w:rPr>
                  <w:rStyle w:val="InternetLink"/>
                  <w:rFonts w:ascii="Times New Roman;sans-serif" w:hAnsi="Times New Roman;sans-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22">
              <w:r>
                <w:rPr>
                  <w:rStyle w:val="InternetLink"/>
                  <w:rFonts w:ascii="Times New Roman;sans-serif" w:hAnsi="Times New Roman;sans-serif"/>
                  <w:b w:val="false"/>
                  <w:strike w:val="false"/>
                  <w:dstrike w:val="false"/>
                  <w:color w:val="000000"/>
                  <w:sz w:val="20"/>
                  <w:u w:val="none"/>
                  <w:effect w:val="non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25">
              <w:r>
                <w:rPr>
                  <w:rStyle w:val="InternetLink"/>
                  <w:rFonts w:ascii="Times New Roman;sans-serif" w:hAnsi="Times New Roman;sans-serif"/>
                  <w:b w:val="false"/>
                  <w:color w:val="0000FF"/>
                  <w:sz w:val="20"/>
                  <w:u w:val="single"/>
                </w:rPr>
                <w:t>Consolidated Statements of Comprehensive Income (Loss)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25">
              <w:r>
                <w:rPr>
                  <w:rStyle w:val="InternetLink"/>
                  <w:rFonts w:ascii="Times New Roman;sans-serif" w:hAnsi="Times New Roman;sans-serif"/>
                  <w:b w:val="false"/>
                  <w:strike w:val="false"/>
                  <w:dstrike w:val="false"/>
                  <w:color w:val="000000"/>
                  <w:sz w:val="20"/>
                  <w:u w:val="none"/>
                  <w:effect w:val="none"/>
                </w:rPr>
                <w:t>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28">
              <w:r>
                <w:rPr>
                  <w:rStyle w:val="InternetLink"/>
                  <w:rFonts w:ascii="Times New Roman;sans-serif" w:hAnsi="Times New Roman;sans-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28">
              <w:r>
                <w:rPr>
                  <w:rStyle w:val="InternetLink"/>
                  <w:rFonts w:ascii="Times New Roman;sans-serif" w:hAnsi="Times New Roman;sans-serif"/>
                  <w:b w:val="false"/>
                  <w:strike w:val="false"/>
                  <w:dstrike w:val="false"/>
                  <w:color w:val="000000"/>
                  <w:sz w:val="20"/>
                  <w:u w:val="none"/>
                  <w:effect w:val="none"/>
                </w:rPr>
                <w:t>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31">
              <w:r>
                <w:rPr>
                  <w:rStyle w:val="InternetLink"/>
                  <w:rFonts w:ascii="Times New Roman;sans-serif" w:hAnsi="Times New Roman;sans-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31">
              <w:r>
                <w:rPr>
                  <w:rStyle w:val="InternetLink"/>
                  <w:rFonts w:ascii="Times New Roman;sans-serif" w:hAnsi="Times New Roman;sans-serif"/>
                  <w:b w:val="false"/>
                  <w:strike w:val="false"/>
                  <w:dstrike w:val="false"/>
                  <w:color w:val="000000"/>
                  <w:sz w:val="20"/>
                  <w:u w:val="none"/>
                  <w:effect w:val="none"/>
                </w:rPr>
                <w:t>11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34">
              <w:r>
                <w:rPr>
                  <w:rStyle w:val="InternetLink"/>
                  <w:rFonts w:ascii="Times New Roman;sans-serif" w:hAnsi="Times New Roman;sans-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34">
              <w:r>
                <w:rPr>
                  <w:rStyle w:val="InternetLink"/>
                  <w:rFonts w:ascii="Times New Roman;sans-serif" w:hAnsi="Times New Roman;sans-serif"/>
                  <w:b w:val="false"/>
                  <w:strike w:val="false"/>
                  <w:dstrike w:val="false"/>
                  <w:color w:val="000000"/>
                  <w:sz w:val="20"/>
                  <w:u w:val="none"/>
                  <w:effect w:val="none"/>
                </w:rPr>
                <w:t>12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76">
              <w:r>
                <w:rPr>
                  <w:rStyle w:val="InternetLink"/>
                  <w:rFonts w:ascii="Times New Roman;sans-serif" w:hAnsi="Times New Roman;sans-serif"/>
                  <w:b w:val="false"/>
                  <w:strike w:val="false"/>
                  <w:dstrike w:val="false"/>
                  <w:color w:val="000000"/>
                  <w:sz w:val="20"/>
                  <w:u w:val="none"/>
                  <w:effect w:val="none"/>
                </w:rPr>
                <w:t>23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94">
              <w:r>
                <w:rPr>
                  <w:rStyle w:val="InternetLink"/>
                  <w:rFonts w:ascii="Times New Roman;sans-serif" w:hAnsi="Times New Roman;sans-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94">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97">
              <w:r>
                <w:rPr>
                  <w:rStyle w:val="InternetLink"/>
                  <w:rFonts w:ascii="Times New Roman;sans-serif" w:hAnsi="Times New Roman;sans-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97">
              <w:r>
                <w:rPr>
                  <w:rStyle w:val="InternetLink"/>
                  <w:rFonts w:ascii="Times New Roman;sans-serif" w:hAnsi="Times New Roman;sans-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fc8b555c1ad4d0085e1bc72172b5a14_100">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03">
              <w:r>
                <w:rPr>
                  <w:rStyle w:val="InternetLink"/>
                  <w:rFonts w:ascii="Times New Roman;sans-serif" w:hAnsi="Times New Roman;sans-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03">
              <w:r>
                <w:rPr>
                  <w:rStyle w:val="InternetLink"/>
                  <w:rFonts w:ascii="Times New Roman;sans-serif" w:hAnsi="Times New Roman;sans-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06">
              <w:r>
                <w:rPr>
                  <w:rStyle w:val="InternetLink"/>
                  <w:rFonts w:ascii="Times New Roman;sans-serif" w:hAnsi="Times New Roman;sans-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06">
              <w:r>
                <w:rPr>
                  <w:rStyle w:val="InternetLink"/>
                  <w:rFonts w:ascii="Times New Roman;sans-serif" w:hAnsi="Times New Roman;sans-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09">
              <w:r>
                <w:rPr>
                  <w:rStyle w:val="InternetLink"/>
                  <w:rFonts w:ascii="Times New Roman;sans-serif" w:hAnsi="Times New Roman;sans-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09">
              <w:r>
                <w:rPr>
                  <w:rStyle w:val="InternetLink"/>
                  <w:rFonts w:ascii="Times New Roman;sans-serif" w:hAnsi="Times New Roman;sans-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12">
              <w:r>
                <w:rPr>
                  <w:rStyle w:val="InternetLink"/>
                  <w:rFonts w:ascii="Times New Roman;sans-serif" w:hAnsi="Times New Roman;sans-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12">
              <w:r>
                <w:rPr>
                  <w:rStyle w:val="InternetLink"/>
                  <w:rFonts w:ascii="Times New Roman;sans-serif" w:hAnsi="Times New Roman;sans-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15">
              <w:r>
                <w:rPr>
                  <w:rStyle w:val="InternetLink"/>
                  <w:rFonts w:ascii="Times New Roman;sans-serif" w:hAnsi="Times New Roman;sans-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15">
              <w:r>
                <w:rPr>
                  <w:rStyle w:val="InternetLink"/>
                  <w:rFonts w:ascii="Times New Roman;sans-serif" w:hAnsi="Times New Roman;sans-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18">
              <w:r>
                <w:rPr>
                  <w:rStyle w:val="InternetLink"/>
                  <w:rFonts w:ascii="Times New Roman;sans-serif" w:hAnsi="Times New Roman;sans-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18">
              <w:r>
                <w:rPr>
                  <w:rStyle w:val="InternetLink"/>
                  <w:rFonts w:ascii="Times New Roman;sans-serif" w:hAnsi="Times New Roman;sans-serif"/>
                  <w:b w:val="false"/>
                  <w:strike w:val="false"/>
                  <w:dstrike w:val="false"/>
                  <w:color w:val="000000"/>
                  <w:sz w:val="20"/>
                  <w:u w:val="none"/>
                  <w:effect w:val="none"/>
                </w:rPr>
                <w:t>35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21">
              <w:r>
                <w:rPr>
                  <w:rStyle w:val="InternetLink"/>
                  <w:rFonts w:ascii="Times New Roman;sans-serif" w:hAnsi="Times New Roman;sans-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21">
              <w:r>
                <w:rPr>
                  <w:rStyle w:val="InternetLink"/>
                  <w:rFonts w:ascii="Times New Roman;sans-serif" w:hAnsi="Times New Roman;sans-serif"/>
                  <w:b w:val="false"/>
                  <w:strike w:val="false"/>
                  <w:dstrike w:val="false"/>
                  <w:color w:val="000000"/>
                  <w:sz w:val="20"/>
                  <w:u w:val="none"/>
                  <w:effect w:val="none"/>
                </w:rPr>
                <w:t>36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fc8b555c1ad4d0085e1bc72172b5a14_124">
              <w:r>
                <w:rPr>
                  <w:rStyle w:val="InternetLink"/>
                  <w:rFonts w:ascii="Times New Roman;sans-serif" w:hAnsi="Times New Roman;sans-serif"/>
                  <w:b w:val="false"/>
                  <w:color w:val="0000FF"/>
                  <w:sz w:val="20"/>
                  <w:u w:val="single"/>
                </w:rPr>
                <w:t>Signature</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c8b555c1ad4d0085e1bc72172b5a14_124">
              <w:r>
                <w:rPr>
                  <w:rStyle w:val="InternetLink"/>
                  <w:rFonts w:ascii="Times New Roman;sans-serif" w:hAnsi="Times New Roman;sans-serif"/>
                  <w:b w:val="false"/>
                  <w:strike w:val="false"/>
                  <w:dstrike w:val="false"/>
                  <w:color w:val="000000"/>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Report on Form 10-Q and the documents incorporated herein by reference, and our other public documents and statements our officers and representatives may make from time to time, contain forward-looking statements within the meaning of the federal securities laws. These statements are therefore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and uncertainties that are difficult to predict, and that actual results and outcomes may be materially different from the results or outcomes expressed or implied by any of our forward-looking statements for a variety of reasons,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 recession, other economic downturns, inflation, high interest rates, our increasing exposure to the U.S. housing market, or other changes in U.S. and global economic conditions or U.S. consumer spending;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 performance of critical functions material to our business, such as carriers, fulfillment partners, and SaaS/IaaS providers;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compete successfully against existing or future competitors or to effectively market our business and generate customer traffic;</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any increases in the price of importing into the U.S. or transporting to our customers the types of merchandise we sell or other supply chain challenges that limit our ability to deliver merchandise to our customers in a timely manner;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or negative consequences we may encounter as a result of our purchase, implementation, integration, or use of the Bed Bath &amp; Beyond brand and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attract and/or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generate and maintain unpaid natural traffic to our Website;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optimize and effectively operate our distribution center, warehouse, and customer service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to maintain profitability and/or generate positive cash flow from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negative impact from our workforce working on a remote, in-office, or hybrid schedule;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challenges that would result in the event of any loss of functionality or unavailability of our Website or reduced performance of our transaction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exposure to cyber-security risks, risks of data loss and other security breaches;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risk that the amount of deferred tax assets we consider realizable could be reduced if estimates of future taxable income during the carryforward period are reduced;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risk that we may be required to recognize losses relating to our equity and debt investments;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 impacts that we would experience if governmental entities or providers of consumer devices and internet browsers further restrict or regulate the use of "cookie" tracking technologies;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 impact that any litigation, claims, or regulatory matters could have on our business, financial condition, results of operations, and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negative economic consequences of various global conflicts;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possibility that we are unable to protect our proprietary technology and to obtain trademark protection for our marks;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current and future claims of intellectual property infringement to which we are subject;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reliance on third-parties that we do not control for their representations regarding product compliance with various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problems associated with our lack of transparency into, and our lack of influence over, our equity method investments, including our reliance on third-parties to timely and accurately report material events to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difficulties we may encounter as a result of our evolving business practices, including our exit from non-home categories and our continuing expansion into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any inability of Pelion Venture Partners to successfully manage the Medici Ventures, L.P. fund, in which we are the limited partner, or any other entity in which we also have a direct minority interest;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other risks described in this report or in our other public filings.</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In evaluating all forward-looking statements, you should specifically consider the risks outlined above and in this report,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91" w:type="dxa"/>
        <w:jc w:val="center"/>
        <w:tblInd w:w="0" w:type="dxa"/>
        <w:tblLayout w:type="fixed"/>
        <w:tblCellMar>
          <w:top w:w="28" w:type="dxa"/>
          <w:left w:w="28" w:type="dxa"/>
          <w:bottom w:w="28" w:type="dxa"/>
          <w:right w:w="28" w:type="dxa"/>
        </w:tblCellMar>
      </w:tblPr>
      <w:tblGrid>
        <w:gridCol w:w="2518"/>
        <w:gridCol w:w="2222"/>
        <w:gridCol w:w="2250"/>
        <w:gridCol w:w="253"/>
        <w:gridCol w:w="993"/>
        <w:gridCol w:w="131"/>
        <w:gridCol w:w="131"/>
        <w:gridCol w:w="131"/>
        <w:gridCol w:w="131"/>
        <w:gridCol w:w="253"/>
        <w:gridCol w:w="993"/>
        <w:gridCol w:w="185"/>
      </w:tblGrid>
      <w:tr>
        <w:trPr/>
        <w:tc>
          <w:tcPr>
            <w:tcW w:w="2518"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19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$2,006 and $3,223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including securities measured at fair value of $38,400 and $82,823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810,552 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232,720 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1"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54"/>
        <w:gridCol w:w="2239"/>
        <w:gridCol w:w="2250"/>
        <w:gridCol w:w="249"/>
        <w:gridCol w:w="980"/>
        <w:gridCol w:w="129"/>
        <w:gridCol w:w="129"/>
        <w:gridCol w:w="129"/>
        <w:gridCol w:w="129"/>
        <w:gridCol w:w="249"/>
        <w:gridCol w:w="980"/>
        <w:gridCol w:w="188"/>
      </w:tblGrid>
      <w:tr>
        <w:trPr/>
        <w:tc>
          <w:tcPr>
            <w:tcW w:w="2554"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authorized shares - 5,000, issued and outstanding - none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authorized shares - 100,000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shares - 51,455 and 51,102</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shares - 45,202 and 44,951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- 6,253 and 6,151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573,166 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645,826 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810,552 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878,546 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16"/>
        <w:gridCol w:w="1416"/>
        <w:gridCol w:w="141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16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44"/>
        <w:gridCol w:w="1605"/>
        <w:gridCol w:w="1559"/>
        <w:gridCol w:w="211"/>
        <w:gridCol w:w="776"/>
        <w:gridCol w:w="109"/>
        <w:gridCol w:w="109"/>
        <w:gridCol w:w="109"/>
        <w:gridCol w:w="109"/>
        <w:gridCol w:w="211"/>
        <w:gridCol w:w="616"/>
        <w:gridCol w:w="109"/>
        <w:gridCol w:w="109"/>
        <w:gridCol w:w="109"/>
        <w:gridCol w:w="109"/>
        <w:gridCol w:w="211"/>
        <w:gridCol w:w="776"/>
        <w:gridCol w:w="109"/>
        <w:gridCol w:w="109"/>
        <w:gridCol w:w="109"/>
        <w:gridCol w:w="109"/>
        <w:gridCol w:w="211"/>
        <w:gridCol w:w="721"/>
        <w:gridCol w:w="156"/>
      </w:tblGrid>
      <w:tr>
        <w:trPr/>
        <w:tc>
          <w:tcPr>
            <w:tcW w:w="184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 net of expense for taxes of $0, $0, $0, and $0</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08"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66"/>
        <w:gridCol w:w="1465"/>
        <w:gridCol w:w="1468"/>
        <w:gridCol w:w="309"/>
        <w:gridCol w:w="574"/>
        <w:gridCol w:w="154"/>
        <w:gridCol w:w="154"/>
        <w:gridCol w:w="154"/>
        <w:gridCol w:w="154"/>
        <w:gridCol w:w="309"/>
        <w:gridCol w:w="574"/>
        <w:gridCol w:w="154"/>
        <w:gridCol w:w="154"/>
        <w:gridCol w:w="154"/>
        <w:gridCol w:w="154"/>
        <w:gridCol w:w="309"/>
        <w:gridCol w:w="574"/>
        <w:gridCol w:w="154"/>
        <w:gridCol w:w="154"/>
        <w:gridCol w:w="154"/>
        <w:gridCol w:w="154"/>
        <w:gridCol w:w="309"/>
        <w:gridCol w:w="574"/>
        <w:gridCol w:w="226"/>
      </w:tblGrid>
      <w:tr>
        <w:trPr/>
        <w:tc>
          <w:tcPr>
            <w:tcW w:w="166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attributable to stockholders of Overstock.com, Inc.</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issued</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upon vesting of employee stock awards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outstanding</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A-1 preferred stock issued</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shares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Series A-1 preferred stock outstanding</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Series B preferred stock issued and outstanding</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Continued on the following page</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43"/>
        <w:gridCol w:w="1355"/>
        <w:gridCol w:w="1362"/>
        <w:gridCol w:w="211"/>
        <w:gridCol w:w="884"/>
        <w:gridCol w:w="109"/>
        <w:gridCol w:w="109"/>
        <w:gridCol w:w="109"/>
        <w:gridCol w:w="109"/>
        <w:gridCol w:w="211"/>
        <w:gridCol w:w="884"/>
        <w:gridCol w:w="109"/>
        <w:gridCol w:w="109"/>
        <w:gridCol w:w="109"/>
        <w:gridCol w:w="109"/>
        <w:gridCol w:w="211"/>
        <w:gridCol w:w="884"/>
        <w:gridCol w:w="109"/>
        <w:gridCol w:w="109"/>
        <w:gridCol w:w="109"/>
        <w:gridCol w:w="109"/>
        <w:gridCol w:w="211"/>
        <w:gridCol w:w="884"/>
        <w:gridCol w:w="157"/>
      </w:tblGrid>
      <w:tr>
        <w:trPr/>
        <w:tc>
          <w:tcPr>
            <w:tcW w:w="164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972,845 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issued upon conversion and elimination of preferred stock</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5845" w:type="dxa"/>
            <w:gridSpan w:val="21"/>
            <w:tcBorders/>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110" w:type="dxa"/>
            <w:gridSpan w:val="12"/>
            <w:tcBorders/>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and Series A-1 preferred stock</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withholding upon vesting of employee stock awards </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elimination of preferred stock</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708,710 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68"/>
        <w:gridCol w:w="1908"/>
        <w:gridCol w:w="1910"/>
        <w:gridCol w:w="208"/>
        <w:gridCol w:w="404"/>
        <w:gridCol w:w="1581"/>
        <w:gridCol w:w="208"/>
        <w:gridCol w:w="208"/>
        <w:gridCol w:w="208"/>
        <w:gridCol w:w="208"/>
        <w:gridCol w:w="211"/>
        <w:gridCol w:w="826"/>
        <w:gridCol w:w="157"/>
      </w:tblGrid>
      <w:tr>
        <w:trPr/>
        <w:tc>
          <w:tcPr>
            <w:tcW w:w="216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11"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194" w:type="dxa"/>
            <w:gridSpan w:val="3"/>
            <w:tcBorders/>
          </w:tcPr>
          <w:p>
            <w:pPr>
              <w:pStyle w:val="TableContents"/>
              <w:bidi w:val="0"/>
              <w:spacing w:before="0" w:after="283"/>
              <w:jc w:val="left"/>
              <w:rPr>
                <w:sz w:val="4"/>
                <w:szCs w:val="4"/>
              </w:rPr>
            </w:pPr>
            <w:r>
              <w:rPr>
                <w:sz w:val="4"/>
                <w:szCs w:val="4"/>
              </w:rPr>
            </w:r>
          </w:p>
        </w:tc>
      </w:tr>
      <w:tr>
        <w:trPr/>
        <w:tc>
          <w:tcPr>
            <w:tcW w:w="5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deferred tax assets, net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securities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for notes receivable</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equity securities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distribution from investment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and equipment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4219" w:type="dxa"/>
            <w:gridSpan w:val="10"/>
            <w:tcBorders/>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1818" w:type="dxa"/>
            <w:gridSpan w:val="6"/>
            <w:tcBorders/>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taxes withheld upon vesting of employee stock awards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208"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442,787 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598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93"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Overstock.com,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Overstock.com, Inc. is a leading online furniture and home furnishings retailer and technology-focused innovator that sells products at a smart value. Overstock.com owns the Bed Bath &amp; Beyond brand and other intellectual property related to the brand. Our online shopping site offers a wide selection of quality furniture, décor, area rugs, bedding and bath, home improvement, outdoor, and kitchen and dining items, among others. Overstock.com, which receives tens of millions of visits per month, provides customers access to millions of products from third-party partners. As used herein, "Overstock," "the Company," "we," "our" and similar terms include Overstock.com, Inc. and its wholly-owned subsidiaries, unless the context indicates otherwise. As used herein, the term "Website" refers to the Company's internet websites located at www.overstock.com, www.o.co, www.overstock.ca, www.bedbathandbeyond.ca, and www.overstockgovernment.com and the Company's mobile app.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2022. There have been no significant changes to our significant accounting policies disclosed in Note 2—Accounting Policies, included in Part II, Item 8, Financial Statements and Supplementary Data, of our Annual Report on Form 10-K for the year ended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and six months ended June 30, 2023 are not necessarily indicative of the results to be expected for any future period or the full fiscal year, due to seasonality and other factors.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Club O and gift card breakage, sales returns, inventory valuation, depreciable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Available-for-sale debt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invested $10.0 million in GrainChain, Inc. in the form of a convertible promissory note (the "Note"). The Note bears interest at an annual interest rate of 5% and accrued interest is recorded in Interest income (expense), net in our consolidated statements of operations. The Note has a maturity date of January 3, 2025 at which time the outstanding principal and any unpaid accrued interest will automatically convert into shares of a newly created series of preferred stock issued by GrainChain, Inc. unless converted earlier under limited circumstances. The carrying amount of the Note, including accrued interest, was $10.2 million at June 30, 2023, which is included in Other long-term assets, net on our consolidated balance sheets.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nature of our indirect ownership interests in GrainChain, Inc. through Medici Ventures, L.P. and the extent of our contributed capital, we held a variable interest in GrainChain, Inc., which meets the definition of a variable interest entity; however, we are not the primary beneficiary of this entity for purposes of consolidation as we do not have the power (either explicit or implicit), through voting rights or otherwise, to direct the activities of GrainChain, Inc. that most significantly impact its economic performance. Our maximum exposure to loss in this variable interest entity totaled $27.6 million as of June 30, 2023, representing our direct and indirect interest in GrainChain, Inc.</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other than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and amortize intangible assets other than goodwill over their estimated useful lives unless such lives are indefinite. Intangible assets other than goodwill acquired separately from third-parties are capitalized at cost, including any related direct acquisition costs, while such assets acquired as part of a business combination are capitalized at their acquisition-date fair value. Indefinite-lived intangible assets are tested for impairment annually or more frequently when events or circumstances indicate that the carrying value more likely than not exceeds its fair value. In addition, we routinely evaluate the remaining useful life of intangible assets not being amortized to determine whether events or circumstances continue to support an indefinite useful life, including any legal, regulatory, contractual, competitive, economic, or other factors that may limit their useful lives. Definite lived intangible assets are amortized using the straight-line method of amortization over their useful lives, with the exception of certain intangibles (such as acquired customer lists) which are amortized using an accelerated method of amortization based on estimated customer attrition rates. These definite lived intangible assets are reviewed for impairment whenever events or changes in circumstances indicate that their carrying amount may not be recoverable.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 FAIR VALUE MEASUREMENT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and liabilities measured at fair value on a recurring basis using the following levels of inputs (in thousands): </w:t>
      </w:r>
    </w:p>
    <w:tbl>
      <w:tblPr>
        <w:tblW w:w="9010" w:type="dxa"/>
        <w:jc w:val="left"/>
        <w:tblInd w:w="0" w:type="dxa"/>
        <w:tblLayout w:type="fixed"/>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June 30, 2023</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p>
    <w:tbl>
      <w:tblPr>
        <w:tblW w:w="9010" w:type="dxa"/>
        <w:jc w:val="left"/>
        <w:tblInd w:w="0" w:type="dxa"/>
        <w:tblLayout w:type="fixed"/>
        <w:tblCellMar>
          <w:top w:w="28" w:type="dxa"/>
          <w:left w:w="28" w:type="dxa"/>
          <w:bottom w:w="28" w:type="dxa"/>
          <w:right w:w="28" w:type="dxa"/>
        </w:tblCellMar>
      </w:tblPr>
      <w:tblGrid>
        <w:gridCol w:w="1412"/>
        <w:gridCol w:w="1245"/>
        <w:gridCol w:w="1258"/>
        <w:gridCol w:w="211"/>
        <w:gridCol w:w="826"/>
        <w:gridCol w:w="109"/>
        <w:gridCol w:w="109"/>
        <w:gridCol w:w="109"/>
        <w:gridCol w:w="109"/>
        <w:gridCol w:w="211"/>
        <w:gridCol w:w="826"/>
        <w:gridCol w:w="109"/>
        <w:gridCol w:w="109"/>
        <w:gridCol w:w="109"/>
        <w:gridCol w:w="109"/>
        <w:gridCol w:w="213"/>
        <w:gridCol w:w="411"/>
        <w:gridCol w:w="112"/>
        <w:gridCol w:w="109"/>
        <w:gridCol w:w="109"/>
        <w:gridCol w:w="109"/>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securities held in a "rabbi trust"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accrual "rabbi trust"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Other long-term assets, net in the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Included in Accrued liabilities and Other long-term liabilities in the consolidated balance sheets.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activity for our Level 3 investments (in thousands):</w:t>
      </w:r>
    </w:p>
    <w:tbl>
      <w:tblPr>
        <w:tblW w:w="5255" w:type="dxa"/>
        <w:jc w:val="center"/>
        <w:tblInd w:w="0" w:type="dxa"/>
        <w:tblLayout w:type="fixed"/>
        <w:tblCellMar>
          <w:top w:w="28" w:type="dxa"/>
          <w:left w:w="28" w:type="dxa"/>
          <w:bottom w:w="28" w:type="dxa"/>
          <w:right w:w="28" w:type="dxa"/>
        </w:tblCellMar>
      </w:tblPr>
      <w:tblGrid>
        <w:gridCol w:w="1472"/>
        <w:gridCol w:w="1294"/>
        <w:gridCol w:w="1298"/>
        <w:gridCol w:w="211"/>
        <w:gridCol w:w="826"/>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Level 3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 PROPERTY AND EQUIPMENT,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94"/>
        <w:gridCol w:w="2361"/>
        <w:gridCol w:w="2374"/>
        <w:gridCol w:w="211"/>
        <w:gridCol w:w="826"/>
        <w:gridCol w:w="109"/>
        <w:gridCol w:w="109"/>
        <w:gridCol w:w="109"/>
        <w:gridCol w:w="109"/>
        <w:gridCol w:w="230"/>
        <w:gridCol w:w="904"/>
        <w:gridCol w:w="169"/>
      </w:tblGrid>
      <w:tr>
        <w:trPr/>
        <w:tc>
          <w:tcPr>
            <w:tcW w:w="269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 including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354,676 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9989" w:type="dxa"/>
        <w:jc w:val="center"/>
        <w:tblInd w:w="0" w:type="dxa"/>
        <w:tblLayout w:type="fixed"/>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classified within the corresponding operating expense categories on our consolidated statements of operations as follows (in thousands): </w:t>
      </w:r>
    </w:p>
    <w:tbl>
      <w:tblPr>
        <w:tblW w:w="7184" w:type="dxa"/>
        <w:jc w:val="center"/>
        <w:tblInd w:w="0" w:type="dxa"/>
        <w:tblLayout w:type="fixed"/>
        <w:tblCellMar>
          <w:top w:w="28" w:type="dxa"/>
          <w:left w:w="28" w:type="dxa"/>
          <w:bottom w:w="28" w:type="dxa"/>
          <w:right w:w="28" w:type="dxa"/>
        </w:tblCellMar>
      </w:tblPr>
      <w:tblGrid>
        <w:gridCol w:w="836"/>
        <w:gridCol w:w="734"/>
        <w:gridCol w:w="73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12, 2023, we entered into an Asset Purchase Agreement with Bed Bath &amp; Beyond Inc. ("BBBY"), and certain subsidiaries, to acquire certain intellectual property assets of the Bed Bath &amp; Beyond banner from BBBY. On June 27, 2023, under a Bankruptcy Court supervised process, the U.S. Bankruptcy Court for the District of New Jersey approved the sale of the assets to the Company and on June 28, 2023, BBBY delivered all intellectual property assets via an Intellectual Property Assignment Agreement. The total purchase price, inclusive of direct acquisition-related expenses totaled $25.6 million which has been allocated to two major asset categories consisting of $21.8 million for trade names with an indefinite useful life and $3.8 million for customers lists with an estimated useful life of five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 of the following (in thousands):</w:t>
      </w:r>
    </w:p>
    <w:tbl>
      <w:tblPr>
        <w:tblW w:w="6977" w:type="dxa"/>
        <w:jc w:val="left"/>
        <w:tblInd w:w="0" w:type="dxa"/>
        <w:tblLayout w:type="fixed"/>
        <w:tblCellMar>
          <w:top w:w="28" w:type="dxa"/>
          <w:left w:w="28" w:type="dxa"/>
          <w:bottom w:w="28" w:type="dxa"/>
          <w:right w:w="28" w:type="dxa"/>
        </w:tblCellMar>
      </w:tblPr>
      <w:tblGrid>
        <w:gridCol w:w="1559"/>
        <w:gridCol w:w="1369"/>
        <w:gridCol w:w="1376"/>
        <w:gridCol w:w="211"/>
        <w:gridCol w:w="721"/>
        <w:gridCol w:w="109"/>
        <w:gridCol w:w="109"/>
        <w:gridCol w:w="109"/>
        <w:gridCol w:w="109"/>
        <w:gridCol w:w="280"/>
        <w:gridCol w:w="819"/>
        <w:gridCol w:w="206"/>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gross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At June 30, 2023, the weighted average remaining useful life for intangible assets subject to amortization, gross was 5.0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consist of the following (in thousands):</w:t>
      </w:r>
    </w:p>
    <w:tbl>
      <w:tblPr>
        <w:tblW w:w="9661" w:type="dxa"/>
        <w:jc w:val="left"/>
        <w:tblInd w:w="0" w:type="dxa"/>
        <w:tblLayout w:type="fixed"/>
        <w:tblCellMar>
          <w:top w:w="28" w:type="dxa"/>
          <w:left w:w="28" w:type="dxa"/>
          <w:bottom w:w="28" w:type="dxa"/>
          <w:right w:w="28" w:type="dxa"/>
        </w:tblCellMar>
      </w:tblPr>
      <w:tblGrid>
        <w:gridCol w:w="2493"/>
        <w:gridCol w:w="2192"/>
        <w:gridCol w:w="2199"/>
        <w:gridCol w:w="211"/>
        <w:gridCol w:w="826"/>
        <w:gridCol w:w="109"/>
        <w:gridCol w:w="109"/>
        <w:gridCol w:w="109"/>
        <w:gridCol w:w="109"/>
        <w:gridCol w:w="231"/>
        <w:gridCol w:w="905"/>
        <w:gridCol w:w="168"/>
      </w:tblGrid>
      <w:tr>
        <w:trPr/>
        <w:tc>
          <w:tcPr>
            <w:tcW w:w="249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ASC 323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the fair value option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under ASC 321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securities accounted for under the equity method under ASC 323 include equity securities in which we can exercise significant influence, but not control, over these entities through holding more than a 20% voting interest in the entity. The following table includes our equity securities accounted for under the equity method and related ownership interest as of June 30, 2023:</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SpeedRoute, LLC</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our equity method securities was $208.5 million at June 30, 2023, which is included in Equity securities on our consolidated balance sheets, of which $38.4 million is valued under the fair value option (tZERO and SpeedRoute). For our investments in Medici Ventures, tZERO, and SpeedRoute there is no difference in the carrying amount of the assets and liabilities and our maximum exposure to loss, and there is no difference between the carrying amount of our investment in Medici Ventures and the amount of underlying equity we have in the entity's net assets.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loss recognized on equity method securities recorded in Other expense, net in our consolidated statements of operations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820"/>
        <w:gridCol w:w="1600"/>
        <w:gridCol w:w="1604"/>
        <w:gridCol w:w="211"/>
        <w:gridCol w:w="770"/>
        <w:gridCol w:w="109"/>
        <w:gridCol w:w="109"/>
        <w:gridCol w:w="109"/>
        <w:gridCol w:w="109"/>
        <w:gridCol w:w="211"/>
        <w:gridCol w:w="665"/>
        <w:gridCol w:w="109"/>
        <w:gridCol w:w="109"/>
        <w:gridCol w:w="109"/>
        <w:gridCol w:w="109"/>
        <w:gridCol w:w="211"/>
        <w:gridCol w:w="770"/>
        <w:gridCol w:w="109"/>
        <w:gridCol w:w="109"/>
        <w:gridCol w:w="109"/>
        <w:gridCol w:w="109"/>
        <w:gridCol w:w="211"/>
        <w:gridCol w:w="665"/>
        <w:gridCol w:w="159"/>
      </w:tblGrid>
      <w:tr>
        <w:trPr/>
        <w:tc>
          <w:tcPr>
            <w:tcW w:w="182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fair value of equity method securities held under fair value option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S-X Rule 10-01(b)(1)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the unaudited summarized financial information for those equity method securities that met the significance criteria for the period ended June 30, 2023 (in thousands):</w:t>
      </w:r>
    </w:p>
    <w:p>
      <w:pPr>
        <w:pStyle w:val="TextBody"/>
        <w:bidi w:val="0"/>
        <w:spacing w:before="0" w:after="0"/>
        <w:ind w:left="0" w:right="0" w:firstLine="720"/>
        <w:jc w:val="left"/>
        <w:rPr/>
      </w:pPr>
      <w:r>
        <w:rPr/>
      </w:r>
    </w:p>
    <w:tbl>
      <w:tblPr>
        <w:tblW w:w="6278" w:type="dxa"/>
        <w:jc w:val="left"/>
        <w:tblInd w:w="0" w:type="dxa"/>
        <w:tblLayout w:type="fixed"/>
        <w:tblCellMar>
          <w:top w:w="28" w:type="dxa"/>
          <w:left w:w="28" w:type="dxa"/>
          <w:bottom w:w="28" w:type="dxa"/>
          <w:right w:w="28" w:type="dxa"/>
        </w:tblCellMar>
      </w:tblPr>
      <w:tblGrid>
        <w:gridCol w:w="695"/>
        <w:gridCol w:w="610"/>
        <w:gridCol w:w="614"/>
        <w:gridCol w:w="215"/>
        <w:gridCol w:w="475"/>
        <w:gridCol w:w="109"/>
        <w:gridCol w:w="109"/>
        <w:gridCol w:w="109"/>
        <w:gridCol w:w="109"/>
        <w:gridCol w:w="215"/>
        <w:gridCol w:w="475"/>
        <w:gridCol w:w="109"/>
        <w:gridCol w:w="109"/>
        <w:gridCol w:w="109"/>
        <w:gridCol w:w="109"/>
        <w:gridCol w:w="215"/>
        <w:gridCol w:w="475"/>
        <w:gridCol w:w="109"/>
        <w:gridCol w:w="109"/>
        <w:gridCol w:w="109"/>
        <w:gridCol w:w="109"/>
        <w:gridCol w:w="211"/>
        <w:gridCol w:w="61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BORROWINGS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total outstanding debt on these loans was $36.2 million, net of $355,000 in capitalized debt issuance costs, and the total amount of the current portion of these loans included in Other current liabilities on our consolidated balance sheets was $2.0 million.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Both loans include certain financial and non-financial covenants and are secured by our corporate headquarters and the related land and rank senior to stockholders. The financial covenants require that Overstock maintain a net worth in excess of $30 million and minimum liquid assets of $3 million for so long as the Mezzanine Note is outstanding and is reduced to maintaining a net worth in excess of $15 million and minimum liquid assets of $1 million for the remainder of the term that the Senior Note is outstanding. We are in compliance with our debt covenants and continue to monitor our ongoing compliance with our debt covenants.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LEASES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operating leases for warehouses, office space, and data centers. Our leases have remaining lease terms of one year to four years, some of which may include options to extend the leases perpetually, and some of which may include options to terminate the leases within one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6525" w:type="dxa"/>
        <w:jc w:val="center"/>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other information related to leases (in thousands):</w:t>
      </w:r>
    </w:p>
    <w:tbl>
      <w:tblPr>
        <w:tblW w:w="8202" w:type="dxa"/>
        <w:jc w:val="center"/>
        <w:tblInd w:w="0" w:type="dxa"/>
        <w:tblLayout w:type="fixed"/>
        <w:tblCellMar>
          <w:top w:w="28" w:type="dxa"/>
          <w:left w:w="28" w:type="dxa"/>
          <w:bottom w:w="28" w:type="dxa"/>
          <w:right w:w="28" w:type="dxa"/>
        </w:tblCellMar>
      </w:tblPr>
      <w:tblGrid>
        <w:gridCol w:w="2184"/>
        <w:gridCol w:w="1918"/>
        <w:gridCol w:w="1928"/>
        <w:gridCol w:w="278"/>
        <w:gridCol w:w="320"/>
        <w:gridCol w:w="251"/>
        <w:gridCol w:w="143"/>
        <w:gridCol w:w="143"/>
        <w:gridCol w:w="143"/>
        <w:gridCol w:w="278"/>
        <w:gridCol w:w="292"/>
        <w:gridCol w:w="324"/>
      </w:tblGrid>
      <w:tr>
        <w:trP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operating cash flows from lease arrangements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balance sheet information related to leases:</w:t>
      </w:r>
    </w:p>
    <w:tbl>
      <w:tblPr>
        <w:tblW w:w="7391" w:type="dxa"/>
        <w:jc w:val="center"/>
        <w:tblInd w:w="0" w:type="dxa"/>
        <w:tblLayout w:type="fixed"/>
        <w:tblCellMar>
          <w:top w:w="28" w:type="dxa"/>
          <w:left w:w="28" w:type="dxa"/>
          <w:bottom w:w="28" w:type="dxa"/>
          <w:right w:w="28" w:type="dxa"/>
        </w:tblCellMar>
      </w:tblPr>
      <w:tblGrid>
        <w:gridCol w:w="1750"/>
        <w:gridCol w:w="1537"/>
        <w:gridCol w:w="1543"/>
        <w:gridCol w:w="206"/>
        <w:gridCol w:w="206"/>
        <w:gridCol w:w="517"/>
        <w:gridCol w:w="109"/>
        <w:gridCol w:w="109"/>
        <w:gridCol w:w="109"/>
        <w:gridCol w:w="266"/>
        <w:gridCol w:w="266"/>
        <w:gridCol w:w="773"/>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years</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under our non-cancellable operating leases as of June 30, 2023, are as follows (in thousands):</w:t>
      </w:r>
    </w:p>
    <w:tbl>
      <w:tblPr>
        <w:tblW w:w="399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October 2019, we received a subpoena from the SEC requiring us to produce documents and other information related to the Series A-1 Preferred stock dividend we announced to stockholders in June 2019 and requesting copies of 10b5-1 plans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on these matters.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Securities Exchange Act of 1934, as amended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President,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No estimates of the possible losses or range of losses can be made at this time. We intend to vigorously defend these actions.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23, 2020, a putative class action lawsuit was filed against us in the Circuit Court of the County of St. Louis, State of Missouri, alleging that we over-collected taxes on products sold into the state of Missouri. We removed the case to United States District Court, Eastern District of Missouri on May 22, 2020, and on February 9, 2021, the case against us was dismissed. On March 1, 2021, a putative class action lawsuit was filed against us in the Circuit Court of the County of St. Louis, State of Missouri, alleging similar allegations to the April 23, 2020 putative class action lawsuit that was dismissed, that we over-collected taxes on products sold into the state of Missouri. We filed a motion to compel arbitration, which was denied on October 13, 2021. We filed a motion to dismiss, which was denied on March 16, 2022. No estimates of the possible losses or range of losses can be made at this time. We intend to vigorously defend this action.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when a particular contingency is probable and estimable. At June 30, 2023 and December 31, 2022, our established liabilities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for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STOCKHOLDERS' EQUITY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 conversion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June 10, 2022 conversion of all outstanding Series A-1 and Series B preferred stock into shares of our common stock, the Company eliminated the Series A-1 and Series B preferred stock class by filing Certificates of Elimination with the Delaware Secretary of State.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JonesTrading Sales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"at the market" sales agreement with JonesTrading Institutional Services LLC and D.A. Davidson &amp; Co. remains active; however, the authorization from our Board of Directors to sell shares of our common stock pursuant to the "at the market" sales program has expired. During the six months ended June 30, 2023 and 2022, we did not sell any shares of our common stock pursuant to the "at the market" sales program.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we did not repurchase any shares of our common stock under our stock repurchase program. During the three months ended June 30, 2022, we repurchased $34.9 million of our common stock and $50,000 of our Series A-1 preferred stock under the stock repurchase program at average prices of $30.69 and $31.30 per share, respectively. During the six months ended June 30, 2022, we repurchased $59.8 million of our common stock and $306,000 of our Series A-1 preferred stock under the stock repurchase program at average prices of $36.16 and $42.16 per share, respectively. During the six months ended June 30, 2022, we retired 7,244 shares of our Series A-1 preferred stock treasury stock which had been previously repurchased under the stock repurchase program. The retirement increased Accumulated deficit by $306,000. As of June 30, 2023, we had $19.9 million available for future share repurchases under our current repurchase authorization through December 31,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classified within the corresponding operating expense categories on our consolidated statements of operations as follows (in thousands):</w:t>
      </w:r>
    </w:p>
    <w:tbl>
      <w:tblPr>
        <w:tblW w:w="7619" w:type="dxa"/>
        <w:jc w:val="center"/>
        <w:tblInd w:w="0" w:type="dxa"/>
        <w:tblLayout w:type="fixed"/>
        <w:tblCellMar>
          <w:top w:w="28" w:type="dxa"/>
          <w:left w:w="28" w:type="dxa"/>
          <w:bottom w:w="28" w:type="dxa"/>
          <w:right w:w="28" w:type="dxa"/>
        </w:tblCellMar>
      </w:tblPr>
      <w:tblGrid>
        <w:gridCol w:w="993"/>
        <w:gridCol w:w="873"/>
        <w:gridCol w:w="87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Overstock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Overstock.com, Inc. Amended and Restated 2005 Equity Incentive Plan provides for the grant of restricted stock units to employees and directors of the Company and other types of equity awards of the Company. These restricted stock awards generally vest over three years at 33.3% at the end of the first year, 33.3% at the end of the second year and 33.4% at the end of the third year, subject to the recipient's continuing service to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 activity (in thousands, except per share data):</w:t>
      </w:r>
    </w:p>
    <w:tbl>
      <w:tblPr>
        <w:tblW w:w="4979" w:type="dxa"/>
        <w:jc w:val="left"/>
        <w:tblInd w:w="0" w:type="dxa"/>
        <w:tblLayout w:type="fixed"/>
        <w:tblCellMar>
          <w:top w:w="28" w:type="dxa"/>
          <w:left w:w="28" w:type="dxa"/>
          <w:bottom w:w="28" w:type="dxa"/>
          <w:right w:w="28" w:type="dxa"/>
        </w:tblCellMar>
      </w:tblPr>
      <w:tblGrid>
        <w:gridCol w:w="999"/>
        <w:gridCol w:w="879"/>
        <w:gridCol w:w="882"/>
        <w:gridCol w:w="308"/>
        <w:gridCol w:w="308"/>
        <w:gridCol w:w="181"/>
        <w:gridCol w:w="109"/>
        <w:gridCol w:w="109"/>
        <w:gridCol w:w="109"/>
        <w:gridCol w:w="235"/>
        <w:gridCol w:w="688"/>
        <w:gridCol w:w="172"/>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 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fair value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Purchases under the Overstock.com, Inc. 2021 Employee Stock Purchase Plan (the "ESPP") during the six months ended June 30, 2023 and 2022 were 68,011 shares and 41,918 shares, respectively, at an average purchase price per share of $16.46 and $48.37, respectively. At June 30, 2023, approximately 2.8 million shares of common stock remained available under the ESPP.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ESPP is included in the stock-based compensation expense table above combined with the expense associated with our restricted stock units. Stock-based compensation related to the ESPP was $515,000 and $610,000 for the three months ended June 30, 2023 and 2022, respectively, and $1.1 million and $1.2 million for the six months ended June 30, 2023 and 2022,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13. REVENUE AND CONTRACT LIABILITY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Unearned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Layout w:type="fixed"/>
        <w:tblCellMar>
          <w:top w:w="28" w:type="dxa"/>
          <w:left w:w="28" w:type="dxa"/>
          <w:bottom w:w="28" w:type="dxa"/>
          <w:right w:w="28" w:type="dxa"/>
        </w:tblCellMar>
      </w:tblPr>
      <w:tblGrid>
        <w:gridCol w:w="2046"/>
        <w:gridCol w:w="1798"/>
        <w:gridCol w:w="1811"/>
        <w:gridCol w:w="211"/>
        <w:gridCol w:w="721"/>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unearned revenue related to outstanding Club O Reward dollars was $10.5 million and $10.9 million at June 30, 2023 and December 31, 2022, respectively. Breakage income related to Club O Reward dollars and gift cards is recognized in Net revenue in our consolidated statements of operations. Breakage included in revenue was $1.0 million and $1.1 million for the three months ended June 30, 2023 and 2022, respectively, and $1.9 million and $2.2 million for the six months ended June 30, 2023 and 2022, respectively. The timing of revenue recognition of these reward dollars is driven by actual customer activities, such as redemptions and expirations.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additions to and deductions from the sales returns allowance, which is included in our Accrued liabilities balance in our consolidated balance sheets (in thousands):</w:t>
      </w:r>
    </w:p>
    <w:tbl>
      <w:tblPr>
        <w:tblW w:w="4760" w:type="dxa"/>
        <w:jc w:val="center"/>
        <w:tblInd w:w="0" w:type="dxa"/>
        <w:tblLayout w:type="fixed"/>
        <w:tblCellMar>
          <w:top w:w="28" w:type="dxa"/>
          <w:left w:w="28" w:type="dxa"/>
          <w:bottom w:w="28" w:type="dxa"/>
          <w:right w:w="28" w:type="dxa"/>
        </w:tblCellMar>
      </w:tblPr>
      <w:tblGrid>
        <w:gridCol w:w="1331"/>
        <w:gridCol w:w="1168"/>
        <w:gridCol w:w="1175"/>
        <w:gridCol w:w="211"/>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2022</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NET INCOME (LOSS) PER SHARE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(loss) per common share for the periods indicated (in thousands, except per share data):</w:t>
      </w:r>
    </w:p>
    <w:tbl>
      <w:tblPr>
        <w:tblW w:w="10205" w:type="dxa"/>
        <w:jc w:val="center"/>
        <w:tblInd w:w="0" w:type="dxa"/>
        <w:tblLayout w:type="fixed"/>
        <w:tblCellMar>
          <w:top w:w="28" w:type="dxa"/>
          <w:left w:w="28" w:type="dxa"/>
          <w:bottom w:w="28" w:type="dxa"/>
          <w:right w:w="28" w:type="dxa"/>
        </w:tblCellMar>
      </w:tblPr>
      <w:tblGrid>
        <w:gridCol w:w="1829"/>
        <w:gridCol w:w="1576"/>
        <w:gridCol w:w="1584"/>
        <w:gridCol w:w="211"/>
        <w:gridCol w:w="785"/>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7"/>
      </w:tblGrid>
      <w:tr>
        <w:trPr/>
        <w:tc>
          <w:tcPr>
            <w:tcW w:w="182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dividends—issued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income (loss)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income (loss) allocated to participating securities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outstanding—basic</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outstanding—diluted</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of common stock:</w:t>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were excluded from the calculation of diluted shares outstanding as their effect would have been anti-dilutive (in thousands):</w:t>
      </w:r>
    </w:p>
    <w:tbl>
      <w:tblPr>
        <w:tblW w:w="7026" w:type="dxa"/>
        <w:jc w:val="center"/>
        <w:tblInd w:w="0" w:type="dxa"/>
        <w:tblLayout w:type="fixed"/>
        <w:tblCellMar>
          <w:top w:w="28" w:type="dxa"/>
          <w:left w:w="28" w:type="dxa"/>
          <w:bottom w:w="28" w:type="dxa"/>
          <w:right w:w="28" w:type="dxa"/>
        </w:tblCellMar>
      </w:tblPr>
      <w:tblGrid>
        <w:gridCol w:w="939"/>
        <w:gridCol w:w="825"/>
        <w:gridCol w:w="831"/>
        <w:gridCol w:w="308"/>
        <w:gridCol w:w="308"/>
        <w:gridCol w:w="201"/>
        <w:gridCol w:w="201"/>
        <w:gridCol w:w="201"/>
        <w:gridCol w:w="201"/>
        <w:gridCol w:w="233"/>
        <w:gridCol w:w="233"/>
        <w:gridCol w:w="201"/>
        <w:gridCol w:w="109"/>
        <w:gridCol w:w="109"/>
        <w:gridCol w:w="109"/>
        <w:gridCol w:w="308"/>
        <w:gridCol w:w="308"/>
        <w:gridCol w:w="176"/>
        <w:gridCol w:w="172"/>
        <w:gridCol w:w="172"/>
        <w:gridCol w:w="172"/>
        <w:gridCol w:w="233"/>
        <w:gridCol w:w="233"/>
        <w:gridCol w:w="243"/>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provides information that we believe to be relevant to an understanding of our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and uncertainties, including, but not limited to, the risks and uncertainties described in "Special Cautionary Note Regarding Forward Looking Statements" and in Part II, Item 1A, "Risk Factors" included in this Quarterly Report on Form 10-Q. You should read the following discussion together with our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an online furniture and home furnishings retailer and technology-focused innovator. As used herein, "Overstock," "the Company," "we," "our" and similar terms include Overstock.com, Inc. and our controlled subsidiaries, unless the context indicates otherwise.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Overstock provides furniture and home furnishings to assist consumers in "Making Dream Homes Come True," particularly for our target customers—consumers who seek smart value on quality, stylish furniture and home furnishings at competitive prices, and who want an easy shopping experience. We believe that the furniture and home furnishings market, which is highly fragmented and has traditionally been served by brick-and-mortar stores, will continue transitioning to online sales as consumers become increasingly comfortable shopping online for goods in this product category. We continually update and augment our product assortment to meet the evolving preferences of our customers and current trends. Our products include furniture, décor, area rugs, bedding and bath, home improvement, outdoor, and kitchen and dining items, among others. We recently acquired the Bed Bath &amp; Beyond brand and other intellectual property related to the brand. We sell our products and services primarily through our internet websites located at www.overstock.com, www.o.co, www.overstock.ca, www.bedbathandbeyond.ca, and www.overstockgovernment.com (referred to collectively as the "Website") and through our mobile app. Nearly all of our retail sales through our Website and mobile app were from transactions in which we fulfilled orders through our network of manufacturers, distributors and other suppliers ("partners") selling on our Website. Our use of the term "partner" does not mean that we have formed any legal partnerships with any of our retail partners. We provide our partners with access to a large customer base and convenient services for marketing, order fulfillment, customer service, returns handling, and other services. Our supply chain allows us to ship directly to our customers from our partners or from our warehouses. Our warehouses primarily fulfill orders from sales of our partners' owned inventory, including some customer returns of partner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recent acquisition of the Bed Bath &amp; Beyond brand and other intellectual property to assist us in driving growth as we continue to focus on driving growth through expanding our home assortment to improve our brand association with home, making it easier for our customers to find and view a broad assortment of products, increasing mobile app adoption driving higher customer retention, average order size, and brand loyalty, optimizing our marketing efforts to grow Overstock consideration among home shoppers, growing our customer base in Canada, and gaining market share by strengthening our brand pillars of "Product Findability," "Smart Value," and "Easy Delivery and Support."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Commentary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20.1% for the three months ended June 30, 2023, compared to the same period in 2022. This decrease was primarily due to a 16% decrease in the number of customer orders delivered and a decrease in average order value of 5%. This decreased order activity was largely driven by the impact of macroeconomic factors including a relatively high inflationary environment and uncertainty impacting consumer sentiment, a shift in consumer spending preferences, and our strategy to exit non-home categories.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decreased 22.1% for the three months ended June 30, 2023, compared to the same period in 2022, due to lower sales and a decrease in gross margin. Gross margin decreased to 22.4% for the three months ended June 30, 2023, compared to 22.9% for the same period in 2022, primarily due to increased promotional discounting and carrier costs. The decrease was partially offset by merchandising actions and operational efficiencies.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as a percentage of revenue increased from 11.0% for the three months ended June 30, 2022 to 11.7% for the three months ended June 30, 2023, primarily due to increased performance marketing expense partially offset by lower brand advertising.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totaled $27.7 million for the three months ended June 30, 2023, a $2.8 million decrease compared to the three months ended June 30, 2022, primarily due to a reduction in staff-related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$592,000 for the three months ended June 30, 2023 compared to the three months ended June 30, 2022, primarily due to increased legal and other third-party expenses partially offset by a reduction in staff-related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cash and cash equivalents balance decreased from $371.3 million as of December 31, 2022, to $342.9 million as of June 30,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Additional commentary related to macroeconomic trends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recent macroeconomic trends, including, but not limited to, geopolitical events, fluctuating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Nevertheless, as of June 30, 2023,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Comparisons of Three Months Ended June 30, 2023 to Three Months Ended June 30, 2022, and Six Months Ended June 30, 2023 to Six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 cost of goods sold, 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revenue, cost of goods sold, and gross profit (in thousands):</w:t>
      </w:r>
    </w:p>
    <w:tbl>
      <w:tblPr>
        <w:tblW w:w="9962" w:type="dxa"/>
        <w:jc w:val="center"/>
        <w:tblInd w:w="0" w:type="dxa"/>
        <w:tblLayout w:type="fixed"/>
        <w:tblCellMar>
          <w:top w:w="28" w:type="dxa"/>
          <w:left w:w="28" w:type="dxa"/>
          <w:bottom w:w="28" w:type="dxa"/>
          <w:right w:w="28" w:type="dxa"/>
        </w:tblCellMar>
      </w:tblPr>
      <w:tblGrid>
        <w:gridCol w:w="1286"/>
        <w:gridCol w:w="1133"/>
        <w:gridCol w:w="1135"/>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976"/>
        <w:gridCol w:w="316"/>
      </w:tblGrid>
      <w:tr>
        <w:trPr/>
        <w:tc>
          <w:tcPr>
            <w:tcW w:w="12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246,317 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total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fees, customer service,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20.1% decrease in net revenue for the three months ended June 30, 2023, as compared to the same period in 2022, was primarily due to a 16% decrease in the number of customer orders delivered and a decrease in average order value of 5%. This decreased order activity was largely driven by the impact of macroeconomic factors including a relatively high inflationary environment and uncertainty impacting consumer sentiment, a shift in consumer spending preferences, and our strategy to exit non-home categories.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24.5% decrease in net revenue for the six months ended June 30, 2023, as compared to the same period in 2022, was primarily due to a 22% decrease in the number of customer orders delivered and a decrease in average order value of 3%. This decreased order activity was largely driven by the impact of macroeconomic factors including a relatively high inflationary environment and uncertainty impacting consumer sentiment, a shift in consumer spending preferences, and our strategy to exit non-home categories.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estimate the impact that macroeconomic conditions, such as supply chain challenges, inflation, rising interest rates, or geopolitical events will have on our business in the future due to the unpredictable nature of the ultimate development and duration of these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net revenues were less than 2% of total net revenues for each of the three and six months ended June 30, 2023 and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estimate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or geopolitical events.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3"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32"/>
        <w:gridCol w:w="1252"/>
        <w:gridCol w:w="171"/>
        <w:gridCol w:w="109"/>
        <w:gridCol w:w="109"/>
        <w:gridCol w:w="109"/>
        <w:gridCol w:w="533"/>
        <w:gridCol w:w="1747"/>
        <w:gridCol w:w="389"/>
      </w:tblGrid>
      <w:tr>
        <w:trP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 2023</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margins fluctuate based on competitive pricing; product costs; discounting; product mix of sales; advertising revenue and our marketing allowance program; and operational and fulfillment costs. Merchant fees, customer service, and other (previously labeled "Fulfillment and related costs") include merchant processing fees associated with customer payments made by credit cards and other payment methods and other variable fees, customer service costs,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Merchant fees, customer service, and other as a percentage of sales may vary due to several factors, such as our ability to effectively manage merchant fees, customer service costs, and warehouse costs. We believe that some companies in our industry, including some of our competitors, account for merchant fees, customer service, and other costs within operating expenses, and therefore exclude merchant fees, customer service, and other costs from gross margin. As a result, our gross margin may not be directly comparable to others in our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margins for the past six quarterly periods and fiscal year ending 2022 were:</w:t>
      </w:r>
    </w:p>
    <w:tbl>
      <w:tblPr>
        <w:tblW w:w="10193" w:type="dxa"/>
        <w:jc w:val="center"/>
        <w:tblInd w:w="0" w:type="dxa"/>
        <w:tblLayout w:type="fixed"/>
        <w:tblCellMar>
          <w:top w:w="28" w:type="dxa"/>
          <w:left w:w="28" w:type="dxa"/>
          <w:bottom w:w="28" w:type="dxa"/>
          <w:right w:w="28" w:type="dxa"/>
        </w:tblCellMar>
      </w:tblPr>
      <w:tblGrid>
        <w:gridCol w:w="429"/>
        <w:gridCol w:w="377"/>
        <w:gridCol w:w="37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June 30, 2023 decreased 22.1% compared to the same period in 2022, due to lower sales and a decrease in gross margin. Gross margin decreased to 22.4% for the three months ended June 30, 2023, compared to 22.9% for the same period in 2022, primarily due to increased promotional discounting and carrier costs. The decrease was partially offset by merchandising actions and operational efficiencies.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six months ended June 30, 2023 decreased 25.3% compared to the same period in 2022, primarily due to lower sales and a decrease in gross margin. Gross margin decreased to 22.9% for the six months ended June 30, 2023, compared to 23.1% for the same period in 2022, primarily due to increased promotional discounting and carrier costs. The decrease was partially offset by merchandising actions and operational efficiencies.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our discounted shipping and other promotions, such as coupons, are not included in sales and marketing expense. Rather, they are accounted for as a reduction in revenue as they reduce the amount of consideration we expect to receive in exchange for goods or services and therefore affect net revenues and gross margin. We consider discounted shipping and other promotions, such as our policy for free shipping on orders, as an effective marketing tool.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sales and marketing expenses (in thousands):</w:t>
      </w:r>
    </w:p>
    <w:tbl>
      <w:tblPr>
        <w:tblW w:w="10205" w:type="dxa"/>
        <w:jc w:val="center"/>
        <w:tblInd w:w="0" w:type="dxa"/>
        <w:tblLayout w:type="fixed"/>
        <w:tblCellMar>
          <w:top w:w="28" w:type="dxa"/>
          <w:left w:w="28" w:type="dxa"/>
          <w:bottom w:w="28" w:type="dxa"/>
          <w:right w:w="28" w:type="dxa"/>
        </w:tblCellMar>
      </w:tblPr>
      <w:tblGrid>
        <w:gridCol w:w="1598"/>
        <w:gridCol w:w="1327"/>
        <w:gridCol w:w="1336"/>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826"/>
        <w:gridCol w:w="317"/>
      </w:tblGrid>
      <w:tr>
        <w:trPr/>
        <w:tc>
          <w:tcPr>
            <w:tcW w:w="159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net revenues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70 basis point increase in sales and marketing expenses as a percent of net revenues for the three months ended June 30, 2023, as compared to the same period in 2022, was primarily due to increased performance marketing expense partially offset by lower brand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110 basis point increase in sales and marketing expenses as a percent of net revenues for the six months ended June 30, 2023, as compared to the same period in 2022, was primarily due to increased performance marketing expense partially offset by lower brand advertising.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deploy our capital resources efficiently in technology to support operations including private and public cloud, web services, customer support solutions, and product search. We also invest in technology to enhance the customer experience including machine learning algorithms,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frequency and variety of cyberattacks on our Website,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technology expenses (in thousands):</w:t>
      </w:r>
    </w:p>
    <w:tbl>
      <w:tblPr>
        <w:tblW w:w="9993" w:type="dxa"/>
        <w:jc w:val="center"/>
        <w:tblInd w:w="0" w:type="dxa"/>
        <w:tblLayout w:type="fixed"/>
        <w:tblCellMar>
          <w:top w:w="28" w:type="dxa"/>
          <w:left w:w="28" w:type="dxa"/>
          <w:bottom w:w="28" w:type="dxa"/>
          <w:right w:w="28" w:type="dxa"/>
        </w:tblCellMar>
      </w:tblPr>
      <w:tblGrid>
        <w:gridCol w:w="1504"/>
        <w:gridCol w:w="1323"/>
        <w:gridCol w:w="1328"/>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as a percent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$2.8 million decrease in technology expenses for the three months ended June 30, 2023, as compared to the same period in 2022, was primarily due to a reduction in staff-related expenses.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$5.3 million decrease in technology expenses for the six months ended June 30, 2023, as compared to the same period in 2022, was primarily due to a reduction in staff-related expenses.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general and administrative expenses (in thousands):</w:t>
      </w:r>
    </w:p>
    <w:tbl>
      <w:tblPr>
        <w:tblW w:w="10205" w:type="dxa"/>
        <w:jc w:val="center"/>
        <w:tblInd w:w="0" w:type="dxa"/>
        <w:tblLayout w:type="fixed"/>
        <w:tblCellMar>
          <w:top w:w="28" w:type="dxa"/>
          <w:left w:w="28" w:type="dxa"/>
          <w:bottom w:w="28" w:type="dxa"/>
          <w:right w:w="28" w:type="dxa"/>
        </w:tblCellMar>
      </w:tblPr>
      <w:tblGrid>
        <w:gridCol w:w="1587"/>
        <w:gridCol w:w="1388"/>
        <w:gridCol w:w="139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7"/>
      </w:tblGrid>
      <w:tr>
        <w:trPr/>
        <w:tc>
          <w:tcPr>
            <w:tcW w:w="15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3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as a percent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$592,000 increase in general and administrative expenses for the three months ended June 30, 2023, as compared to the same period in 2022, was primarily due to increased legal and other third-party expenses partially offset by a reduction in staff-related expenses.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$181,000 decrease in general and administrative expenses for the six months ended June 30, 2023, as compared to the same period in 2022, was relatively flat year-over-year.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Other expense, net for the</w:t>
      </w:r>
      <w:r>
        <w:rPr>
          <w:color w:val="000000"/>
        </w:rPr>
        <w:t xml:space="preserve"> </w:t>
      </w:r>
      <w:r>
        <w:rPr>
          <w:rFonts w:ascii="Times New Roman;sans-serif" w:hAnsi="Times New Roman;sans-serif"/>
          <w:b w:val="false"/>
          <w:color w:val="000000"/>
          <w:sz w:val="20"/>
        </w:rPr>
        <w:t>three months ended June 30, 2023 was $80.7 million as compared to $2.0 million for the three months ended June 30, 2022. The increase was primarily due to a $78.4 million increase in loss recognized from our equity method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for the six months ended June 30, 2023 was $88.1 million as compared to $2.1 million for the six months ended June 30, 2022. The increase was primarily due to a $85.2 million increase in loss recognized from our equity method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(benefit) for income tax for the three months ended June 30, 2023 and 2022 was $(8.4) million and $2.5 million, respectively. The effective tax rate for the three months ended June 30, 2023 and 2022 was 10.2% and 26.1%, respectively. Our provision (benefit) for income tax for the six months ended June 30, 2023 and 2022 was $(11.3) million and $4.6 million, respectively. The effective tax rate for the six months ended June 30, 2023 and 2022 was 11.8% and 21.1%, respectively. Our tax expense decreased during the three and six months ended June 30, 2023 as compared to the same period in 2022, primarily due to a decrease in income before income taxes. Our tax rate decreased during the three and six months ended June 30, 2023 as compared to the same period in 2022, primarily due to year-to-date losses on our equity method securities for which tax benefits are limited. Our effective tax rate for the three and six months ended June 30, 2023 differs from the statutory federal income tax rate of 21% primarily due to year-to-date losses on our equity method securities for which tax benefits are limited.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quarter we assess the recoverability of our deferred tax assets under ASC Topic 740. We assess available positive and negative evidence to estimate whether we will generate sufficient future taxable income to use our existing deferred tax assets. We have no carryback ability, and therefore we must rely on future taxable income, including tax planning strategies and future reversals of taxable temporary differences, to support their realizability. We maintain a valuation allowance against our deferred tax assets for capital losses and the state of Utah where not supported by future reversals of taxable temporary differences, because of the uncertainty regarding the realizability of these deferred tax assets. Any activities that impact the valuation allowance will be recognized discretely in the period in which they occur. We will continue to monitor the need for a valuation allowance against our other deferred tax assets on a quarterly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United States and multiple state and foreign jurisdictions. Tax years beginning in 2018 are subject to examination by taxing authorities, although net operating loss and credit carryforwards from all years are subject to examinations and adjustments for at least three years following the year in which the attributes are used.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based on our current and expected future levels of operations and process streamlining.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existing cash and cash equivalents and accounts receivable, net. At June 30, 2023, we had $342.9 million of cash and cash equivalents and $19.1 million of accounts receivable,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information is as follows (in thousands):</w:t>
      </w:r>
    </w:p>
    <w:tbl>
      <w:tblPr>
        <w:tblW w:w="4868" w:type="dxa"/>
        <w:jc w:val="center"/>
        <w:tblInd w:w="0" w:type="dxa"/>
        <w:tblLayout w:type="fixed"/>
        <w:tblCellMar>
          <w:top w:w="28" w:type="dxa"/>
          <w:left w:w="28" w:type="dxa"/>
          <w:bottom w:w="28" w:type="dxa"/>
          <w:right w:w="28" w:type="dxa"/>
        </w:tblCellMar>
      </w:tblPr>
      <w:tblGrid>
        <w:gridCol w:w="875"/>
        <w:gridCol w:w="768"/>
        <w:gridCol w:w="771"/>
        <w:gridCol w:w="211"/>
        <w:gridCol w:w="721"/>
        <w:gridCol w:w="109"/>
        <w:gridCol w:w="109"/>
        <w:gridCol w:w="109"/>
        <w:gridCol w:w="109"/>
        <w:gridCol w:w="211"/>
        <w:gridCol w:w="72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$18.8 million of net cash provided by operating activities during the six months ended June 30, 2023 was primarily due to income from operating activities adjusted for non-cash items of $17.5 million and cash provided by changes in operating assets and liabilities of $1.3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$21.8 million of net cash provided by operating activities during the six months ended June 30, 2022 was primarily due to income from operating activities adjusted for non-cash items of $42.8 million offset by cash used by changes in operating assets and liabilities of $21.0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investing activities resulted in a net cash outflow of $44.4 million, primarily due to $22.8 million for purchases of intangible assets, $10.0 million for disbursement for notes receivable and $12.0 million of expenditures for property and equipment.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investing activities resulted in a net cash outflow of $17.2 million, primarily due to $11.4 million for purchases of equity securities and $6.4 million of expenditures for property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financing activities resulted in a net cash outflow of $2.7 million primarily due to $2.1 million for payment of taxes withheld upon vesting of employee stock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financing activities resulted in a net cash outflow of $65.2 million primarily due to $60.1 million for repurchases of our common stock and Series A-1 preferred stock under the Repurchase Program and $3.5 million for payment of taxes withheld upon vesting of employee stock awards.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June 30, 2023 and the effect such obligations and commitments are expected to have on our liquidity and cash flow in future periods (in thousands):</w:t>
      </w:r>
    </w:p>
    <w:tbl>
      <w:tblPr>
        <w:tblW w:w="10181" w:type="dxa"/>
        <w:jc w:val="center"/>
        <w:tblInd w:w="0" w:type="dxa"/>
        <w:tblLayout w:type="fixed"/>
        <w:tblCellMar>
          <w:top w:w="28" w:type="dxa"/>
          <w:left w:w="28" w:type="dxa"/>
          <w:bottom w:w="28" w:type="dxa"/>
          <w:right w:w="28" w:type="dxa"/>
        </w:tblCellMar>
      </w:tblPr>
      <w:tblGrid>
        <w:gridCol w:w="1048"/>
        <w:gridCol w:w="922"/>
        <w:gridCol w:w="924"/>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34"/>
        <w:gridCol w:w="1143"/>
        <w:gridCol w:w="172"/>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5919" w:type="dxa"/>
            <w:gridSpan w:val="25"/>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agreements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the future minimum lease payments under non-cancellable operating leases. For information regarding our operating lease obligations, see Note 8—Leases, in the Notes to Unaudited Consolidated Financial Statements included in Item 1, Part I, Financial Statements (Unaudited) of this Quarterly Report on Form 10-Q.</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future interest and principal payments on the financing agreements with Loan Core Capital Funding Corporation LLC. For information regarding our financing agreements, see Note 7—Borrowings, in the Notes to Unaudited Consolidated Financial Statements included in Item 1, Part I, Financial Statements (Unaudited) of this Quarterly Report on Form 10-Q.</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tax matters, the outcomes of which are uncertain. As of June 30, 2023, accrued tax contingencies were $3.6 million. Changes in state, federal, and foreign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financial statements requires that we make estimates and judgments. We base these on historical experience and on other assumptions that we believe to be reasonable. There have been no material changes to our critical accounting policies and estimates as compared to the critical accounting policies and estimates described in Note 2—Accounting Policies and Supplemental Disclosures, included in Part II, Item 8, Financial Statements and Supplementary Data, of our Annual Report on Form 10-K for the year ended December 31, 2022.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variety of laws, rules, mandates, and regulations, some of which apply or may apply to us as a result of our retail business, and others of which apply to us for other reasons, such as our status as a publicly held company or the places in which we sell certain types or amounts of products. Our retail business is subject to general business regulations and laws, regulations and laws specifically governing the internet, e-commerce, and other services we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efforts to expand our retail business outside of the U.S. expose us to foreign and additional U.S. laws and regulations, including but not limited to, laws and regulations relating to taxation, business licensing or certification requirements, advertising practices, online services, the importation of specified or proscribed items, importation quotas, consumer protection, environmental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the effect of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loan agreements carry a fixed blended annual interest rate of 4.45%. As a result, we have no direct financial statement risk associated with changes in interest 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sales and operating expenses are denominated in U.S. dollars, and therefore, our total revenue and operating expenses are not currently subject to significant foreign currency risk.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ourselves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Investment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equity and debt securities may be subject to fluctuations due to volatility of the stock market in general, investment-specific circumstances, and changes in general economic conditions. At June 30, 2023, our recorded value in equity securities in public and private companies was $208.5 million, of which $15,000 relates to publicly traded companies, recorded at fair value, which are subject to market price volatility. At June 30, 2023, $38.4 million of our equity securities and $10.2 million of our debt securities are in private companies,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market sensitivities are not practicable. These investments valued using Level 3 inputs represents 15.8%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in Rule 13a-15(e) and 15d-15(e) of the Securities Exchange Act of 1934, as amended (the "Exchange Act").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Disclosure Controls and Procedures and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either our disclosure controls and procedures or our internal controls over financial reporting that occurred during the quarter ended June 30, 2023, that have materially affected, or are reasonably likely to materially affect, our disclosure controls and procedures or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or become subject to litigation or other legal proceedings concerning consumer protection, employment,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1 of Part I, Financial Statements—Note 9—Commitments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Any investment in our securities involves a high degree of risk. Please consider the following risk factors carefully. If any one or more of the following risks were to occur, it could have a material adverse effect on our business, prospects, financial condition and results of operations, and the market price of our securities could decrease significantly. Statements below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read all of the risk factors below carefully, the risk factors described in our Form 10-K for the year ended December 31, 2022, and in any reports we file with the SEC after we file this Form 10-Q, before deciding whether to purchase or hold our securities. We have not repeated risk factors contained in our Form 10-K for the year ended December 31, 2022, which are incorporated herein by reference. The occurrence of any of these risks could harm our business, the trading price of our securities could decline, and investors could lose part or all of their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risk factors set forth below, there are no material changes from the risk factors previously disclosed in Part I - Item 1A - "Risk Factors," of our Annual Report on Form 10-K for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required to recognize losses relating to our equity method investments.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held equity method investments totaling approximately $208.5 million. The underlying equity interests are in private entities that are in the startup or development stages. Equity method securities are inherently risky because we do not have the ability to influence business decisions, and the markets for the technologies or products these companies are developing are typically in the early stages and may never materialize. Since these investments are in companies that are in the early startup or development stages, even if their technology or products are viable, they may not be able to obtain the capital or resources necessary to successfully bring their technology or products to market. In addition, the valuations of private companies are inherently more complex due to the lack of readily available market data. The fair values of the underlying equity securities may be subject to fluctuations due to investment-specific circumstances such as failing to complete development milestones, achieve financial forecasts, or raise adequate capital, among other items. We have recognized losses related to these equity method securities in the past and may in the future recognize additional losses. Additionally, due to tax law limitations around deductibility of capital and investment losses, we may not be able to recognize a tax benefit on these losses when they occur. Any such loss could be material and could have a material adverse effect on our financial results.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our recent purchase of the Bed Bath &amp; Beyond brand and other intellectual property due to potential risks and uncertainties.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recently purchased certain assets from Bed Bath &amp; Beyond which we have, and will continue to, use, implement, and integrate these assets with our existing business. Risks and uncertainties associated with these efforts could prevent us from realizing the expected benefits of our recent purchase of the Bed Bath &amp; Beyond brand and other intellectual property. Any of the following potential risks and uncertainties, if they were to occur, could negatively impact our financial results and prevent us from achieving the expected benefits of our purchase: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costs associated with the integration, implementation, use, or maintenance of the acquired intellectual property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 confusion resulting from our re-branding or damage to our existing brand;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sales or customers due to confusion resulting from our business re-branding, loyalty program re-branding, or otherwise;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loss of customer traffic directed from third-party search associated with operating a new website;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than anticipated promotional discounting or marketing costs to acquire customers;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to our website or ongoing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 attention or key personnel attention;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fatigue resulting from implementation efforts that could negatively impact our ability to hire or retain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disruptions or changes to our existing business relationships with suppliers or other third parties resulting from our purchase of these assets;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costs to defend claims against Bed Bath &amp; Beyond that we do not owe as an asset purchaser, but could be required to pay in order to defend and preserve our rights;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economic, political, or regulatory risks;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other unforeseen costs, expenses, losses, disruptions, delays, or negative impacts.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June 30, 2023. As of June 30, 2023, the approximate dollar value of shares that may yet be purchased under the stock repurchase program is $19.9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
        <w:gridCol w:w="269"/>
        <w:gridCol w:w="271"/>
        <w:gridCol w:w="109"/>
        <w:gridCol w:w="109"/>
        <w:gridCol w:w="109"/>
        <w:gridCol w:w="2490"/>
        <w:gridCol w:w="2478"/>
        <w:gridCol w:w="34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Asset Purchase Agreement, dated June 12, 2023, by and among Overstock.com, Inc., Bed Bath &amp; Beyond Inc. and certain subsidiaries of Bed Bath &amp; Beyond Inc., incorporated by reference to Exhibit 2.1 to the Company's Current Report on Form 8-K filed on June 13,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Overstock.com, Inc. Amended and Restated 2005 Equity Incentive Plan, incorporated by reference to Exhibit 10.1 to the Company's Current Report on Form 8-K filed on May 23,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630xexx311.htm">
              <w:r>
                <w:rPr>
                  <w:rStyle w:val="InternetLink"/>
                  <w:rFonts w:ascii="Times New Roman;sans-serif" w:hAnsi="Times New Roman;sans-serif"/>
                  <w:b w:val="false"/>
                  <w:color w:val="0000FF"/>
                  <w:sz w:val="20"/>
                  <w:u w:val="single"/>
                </w:rPr>
                <w:t>Exhibit 31.1 Certification of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630xexx312.htm">
              <w:r>
                <w:rPr>
                  <w:rStyle w:val="InternetLink"/>
                  <w:rFonts w:ascii="Times New Roman;sans-serif" w:hAnsi="Times New Roman;sans-serif"/>
                  <w:b w:val="false"/>
                  <w:color w:val="0000FF"/>
                  <w:sz w:val="20"/>
                  <w:u w:val="single"/>
                </w:rPr>
                <w:t>Exhibit 31.2 Certification of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630xexx321.htm">
              <w:r>
                <w:rPr>
                  <w:rStyle w:val="InternetLink"/>
                  <w:rFonts w:ascii="Times New Roman;sans-serif" w:hAnsi="Times New Roman;sans-serif"/>
                  <w:b w:val="false"/>
                  <w:color w:val="0000FF"/>
                  <w:sz w:val="20"/>
                  <w:u w:val="single"/>
                </w:rPr>
                <w:t>Exhibit 32.1 Section 1350 Certification of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tk-20230630xexx322.htm">
              <w:r>
                <w:rPr>
                  <w:rStyle w:val="InternetLink"/>
                  <w:rFonts w:ascii="Times New Roman;sans-serif" w:hAnsi="Times New Roman;sans-serif"/>
                  <w:b w:val="false"/>
                  <w:color w:val="0000FF"/>
                  <w:sz w:val="20"/>
                  <w:u w:val="single"/>
                </w:rPr>
                <w:t>Exhibit 32.2 Section 1350 Certification of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as Exhibit 101 to this report are the following documents formatted in XBRL (Extensible Business Reporting Language): (i) Consolidated Balance Sheets, (ii) Consolidated Statements of Operations, (iii) Consolidated Statements of Comprehensive Income (Loss), (iv) Consolidated Statements of Cash Flows, (v) Consolidated Statements of Stockholders' Equity,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June 30, 2023, formatted in Inline XBRL (included as Exhibit 101).</w:t>
            </w:r>
          </w:p>
        </w:tc>
      </w:tr>
    </w:tbl>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68" w:before="0" w:after="0"/>
        <w:ind w:left="0" w:right="0" w:firstLine="720"/>
        <w:jc w:val="left"/>
        <w:rPr>
          <w:color w:val="000000"/>
        </w:rPr>
      </w:pPr>
      <w:r>
        <w:rPr>
          <w:color w:val="000000"/>
        </w:rPr>
        <w:t xml:space="preserve">† </w:t>
      </w:r>
      <w:r>
        <w:rPr>
          <w:rFonts w:ascii="Times New Roman;sans-serif" w:hAnsi="Times New Roman;sans-serif"/>
          <w:b w:val="false"/>
          <w:color w:val="000000"/>
          <w:sz w:val="20"/>
        </w:rPr>
        <w:t>Certain schedules and exhibits have been omitted pursuant to Item 601(a)(5) of Regulation S-K. The Reporting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 agrees to furnish supplementally a copy of any omitted schedule to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7fc8b555c1ad4d0085e1bc72172b5a1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691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506"/>
        <w:gridCol w:w="1506"/>
        <w:gridCol w:w="21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OVERSTOCK.COM,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50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800"/>
        <w:gridCol w:w="800"/>
        <w:gridCol w:w="11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Overstock.com,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91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505"/>
        <w:gridCol w:w="1505"/>
        <w:gridCol w:w="21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E. Johnson III, certify, pursuant to 18 U.S.C. Section 1350, as adopted pursuant to Section 906 of the Sarbanes-Oxley Act of 2002, that the Quarterly Report of Overstock.com, Inc. on Form 10-Q for the quarter ended June 30,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bidi w:val="0"/>
        <w:spacing w:lineRule="auto" w:line="288" w:before="0" w:after="0"/>
        <w:jc w:val="left"/>
        <w:rPr>
          <w:color w:val="000000"/>
        </w:rPr>
      </w:pPr>
      <w:r>
        <w:rPr>
          <w:color w:val="000000"/>
        </w:rPr>
        <w:t> </w:t>
      </w:r>
    </w:p>
    <w:tbl>
      <w:tblPr>
        <w:tblW w:w="450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800"/>
        <w:gridCol w:w="800"/>
        <w:gridCol w:w="11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E. Johnson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6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pursuant to 18 U.S.C. Section 1350, as adopted pursuant to Section 906 of the Sarbanes-Oxley Act of 2002, that the Quarterly Report of Overstock.com, Inc. on Form 10-Q for the quarter ended June 30, 2023 fully complies with the requirements of Section 13(a) or 15(d) of the Securities Exchange Act of 1934, as applicable, and that information contained in such Report fairly presents in all material respects the financial condition and results of operations of Overstock.com, Inc.</w:t>
      </w:r>
    </w:p>
    <w:p>
      <w:pPr>
        <w:pStyle w:val="TextBody"/>
        <w:bidi w:val="0"/>
        <w:spacing w:lineRule="auto" w:line="288" w:before="0" w:after="0"/>
        <w:jc w:val="left"/>
        <w:rPr>
          <w:color w:val="000000"/>
        </w:rPr>
      </w:pPr>
      <w:r>
        <w:rPr>
          <w:color w:val="000000"/>
        </w:rPr>
        <w:t> </w:t>
      </w:r>
    </w:p>
    <w:tbl>
      <w:tblPr>
        <w:tblW w:w="691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505"/>
        <w:gridCol w:w="1505"/>
        <w:gridCol w:w="21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2023</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3029505/brhc20054372_ex2-1.htm" TargetMode="External"/><Relationship Id="rId3" Type="http://schemas.openxmlformats.org/officeDocument/2006/relationships/hyperlink" Target="https://www.sec.gov/Archives/edgar/data/1130713/000113071323000036/amendedandrestated2005equi.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16502</Words>
  <Characters>91125</Characters>
  <CharactersWithSpaces>106845</CharactersWithSpaces>
  <Paragraphs>2295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