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The Securities Exchange Act of 1934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October 5, 2026</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Neighborhood Intelligence,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sz w:val="20"/>
        </w:rPr>
      </w:pPr>
      <w:r>
        <w:rPr>
          <w:sz w:val="20"/>
        </w:rPr>
      </w:r>
    </w:p>
    <w:tbl>
      <w:tblPr>
        <w:tblW w:w="8550" w:type="dxa"/>
        <w:jc w:val="left"/>
        <w:tblInd w:w="0" w:type="dxa"/>
        <w:tblLayout w:type="fixed"/>
        <w:tblCellMar>
          <w:top w:w="0" w:type="dxa"/>
          <w:left w:w="0" w:type="dxa"/>
          <w:bottom w:w="0" w:type="dxa"/>
          <w:right w:w="0" w:type="dxa"/>
        </w:tblCellMar>
      </w:tblPr>
      <w:tblGrid>
        <w:gridCol w:w="3575"/>
        <w:gridCol w:w="2210"/>
        <w:gridCol w:w="2765"/>
      </w:tblGrid>
      <w:tr>
        <w:trPr/>
        <w:tc>
          <w:tcPr>
            <w:tcW w:w="35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001-41850</w:t>
            </w:r>
          </w:p>
        </w:tc>
        <w:tc>
          <w:tcPr>
            <w:tcW w:w="27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87-0634302</w:t>
            </w:r>
          </w:p>
        </w:tc>
      </w:tr>
      <w:tr>
        <w:trPr/>
        <w:tc>
          <w:tcPr>
            <w:tcW w:w="357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7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433 W. Ascension Way, 3rd Floor</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Murray, Utah 84123</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offices)(Zip Code)</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w:t>
      </w:r>
      <w:r>
        <w:rPr>
          <w:rFonts w:ascii="Times New Roman" w:hAnsi="Times New Roman"/>
          <w:b/>
          <w:color w:val="000000"/>
          <w:sz w:val="20"/>
          <w:shd w:fill="FFFFFF" w:val="clear"/>
        </w:rPr>
        <w:t>801) 947-3100</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7500" w:type="dxa"/>
        <w:jc w:val="left"/>
        <w:tblInd w:w="0" w:type="dxa"/>
        <w:tblLayout w:type="fixed"/>
        <w:tblCellMar>
          <w:top w:w="0" w:type="dxa"/>
          <w:left w:w="0" w:type="dxa"/>
          <w:bottom w:w="28" w:type="dxa"/>
          <w:right w:w="0" w:type="dxa"/>
        </w:tblCellMar>
      </w:tblPr>
      <w:tblGrid>
        <w:gridCol w:w="3800"/>
        <w:gridCol w:w="60"/>
        <w:gridCol w:w="845"/>
        <w:gridCol w:w="60"/>
        <w:gridCol w:w="2735"/>
      </w:tblGrid>
      <w:tr>
        <w:trPr/>
        <w:tc>
          <w:tcPr>
            <w:tcW w:w="380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Symbol(s)</w:t>
            </w:r>
          </w:p>
        </w:tc>
        <w:tc>
          <w:tcPr>
            <w:tcW w:w="60" w:type="dxa"/>
            <w:tcBorders/>
            <w:tcMar>
              <w:bottom w:w="0" w:type="dxa"/>
            </w:tcMar>
            <w:vAlign w:val="center"/>
          </w:tcPr>
          <w:p>
            <w:pPr>
              <w:pStyle w:val="TableContents"/>
              <w:bidi w:val="0"/>
              <w:spacing w:before="0" w:after="283"/>
              <w:jc w:val="left"/>
              <w:rPr/>
            </w:pPr>
            <w:r>
              <w:rPr/>
              <w:t> </w:t>
            </w:r>
          </w:p>
        </w:tc>
        <w:tc>
          <w:tcPr>
            <w:tcW w:w="273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registered</w:t>
            </w:r>
          </w:p>
        </w:tc>
      </w:tr>
      <w:tr>
        <w:trPr/>
        <w:tc>
          <w:tcPr>
            <w:tcW w:w="380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$0.0001 par value per share</w:t>
            </w:r>
          </w:p>
        </w:tc>
        <w:tc>
          <w:tcPr>
            <w:tcW w:w="60" w:type="dxa"/>
            <w:tcBorders/>
            <w:tcMar>
              <w:bottom w:w="0" w:type="dxa"/>
            </w:tcMar>
            <w:vAlign w:val="center"/>
          </w:tcPr>
          <w:p>
            <w:pPr>
              <w:pStyle w:val="TableContents"/>
              <w:bidi w:val="0"/>
              <w:spacing w:before="0" w:after="283"/>
              <w:jc w:val="left"/>
              <w:rPr/>
            </w:pPr>
            <w:r>
              <w:rPr/>
              <w:t> </w:t>
            </w:r>
          </w:p>
        </w:tc>
        <w:tc>
          <w:tcPr>
            <w:tcW w:w="84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NXH</w:t>
            </w:r>
          </w:p>
        </w:tc>
        <w:tc>
          <w:tcPr>
            <w:tcW w:w="60" w:type="dxa"/>
            <w:tcBorders/>
            <w:tcMar>
              <w:bottom w:w="0" w:type="dxa"/>
            </w:tcMar>
            <w:vAlign w:val="center"/>
          </w:tcPr>
          <w:p>
            <w:pPr>
              <w:pStyle w:val="TableContents"/>
              <w:bidi w:val="0"/>
              <w:spacing w:before="0" w:after="283"/>
              <w:jc w:val="left"/>
              <w:rPr/>
            </w:pPr>
            <w:r>
              <w:rPr/>
              <w:t> </w:t>
            </w:r>
          </w:p>
        </w:tc>
        <w:tc>
          <w:tcPr>
            <w:tcW w:w="273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80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Warrants to Purchase Shares of Common Stock</w:t>
            </w:r>
          </w:p>
        </w:tc>
        <w:tc>
          <w:tcPr>
            <w:tcW w:w="60" w:type="dxa"/>
            <w:tcBorders/>
            <w:tcMar>
              <w:bottom w:w="0" w:type="dxa"/>
            </w:tcMar>
            <w:vAlign w:val="center"/>
          </w:tcPr>
          <w:p>
            <w:pPr>
              <w:pStyle w:val="TableContents"/>
              <w:bidi w:val="0"/>
              <w:spacing w:before="0" w:after="283"/>
              <w:jc w:val="left"/>
              <w:rPr/>
            </w:pPr>
            <w:r>
              <w:rPr/>
              <w:t> </w:t>
            </w:r>
          </w:p>
        </w:tc>
        <w:tc>
          <w:tcPr>
            <w:tcW w:w="84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BBBYW</w:t>
            </w:r>
          </w:p>
        </w:tc>
        <w:tc>
          <w:tcPr>
            <w:tcW w:w="60" w:type="dxa"/>
            <w:tcBorders/>
            <w:tcMar>
              <w:bottom w:w="0" w:type="dxa"/>
            </w:tcMar>
            <w:vAlign w:val="center"/>
          </w:tcPr>
          <w:p>
            <w:pPr>
              <w:pStyle w:val="TableContents"/>
              <w:bidi w:val="0"/>
              <w:spacing w:before="0" w:after="283"/>
              <w:jc w:val="left"/>
              <w:rPr/>
            </w:pPr>
            <w:r>
              <w:rPr/>
              <w:t> </w:t>
            </w:r>
          </w:p>
        </w:tc>
        <w:tc>
          <w:tcPr>
            <w:tcW w:w="273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tbl>
      <w:tblPr>
        <w:tblW w:w="5035" w:type="dxa"/>
        <w:jc w:val="left"/>
        <w:tblInd w:w="0" w:type="dxa"/>
        <w:tblLayout w:type="fixed"/>
        <w:tblCellMar>
          <w:top w:w="0" w:type="dxa"/>
          <w:left w:w="0" w:type="dxa"/>
          <w:bottom w:w="0" w:type="dxa"/>
          <w:right w:w="0" w:type="dxa"/>
        </w:tblCellMar>
      </w:tblPr>
      <w:tblGrid>
        <w:gridCol w:w="875"/>
        <w:gridCol w:w="416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1.02.</w:t>
            </w:r>
          </w:p>
        </w:tc>
        <w:tc>
          <w:tcPr>
            <w:tcW w:w="41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Termination of a Material Definitive Agreement.</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On October 5, 2026, Neighborhood Intelligence, Inc. (“the </w:t>
      </w:r>
      <w:r>
        <w:rPr>
          <w:rFonts w:ascii="Times New Roman" w:hAnsi="Times New Roman"/>
          <w:b/>
          <w:i/>
          <w:color w:val="000000"/>
          <w:sz w:val="20"/>
          <w:shd w:fill="FFFFFF" w:val="clear"/>
        </w:rPr>
        <w:t>Company</w:t>
      </w:r>
      <w:r>
        <w:rPr>
          <w:rFonts w:ascii="Times New Roman" w:hAnsi="Times New Roman"/>
          <w:color w:val="000000"/>
          <w:sz w:val="20"/>
          <w:shd w:fill="FFFFFF" w:val="clear"/>
        </w:rPr>
        <w:t>”), a Delaware corporation, and Fathom Holdings, Inc., a North Carolina corporation (“</w:t>
      </w:r>
      <w:r>
        <w:rPr>
          <w:rFonts w:ascii="Times New Roman" w:hAnsi="Times New Roman"/>
          <w:b/>
          <w:i/>
          <w:color w:val="000000"/>
          <w:sz w:val="20"/>
          <w:shd w:fill="FFFFFF" w:val="clear"/>
        </w:rPr>
        <w:t>FTHM</w:t>
      </w:r>
      <w:r>
        <w:rPr>
          <w:rFonts w:ascii="Times New Roman" w:hAnsi="Times New Roman"/>
          <w:color w:val="000000"/>
          <w:sz w:val="20"/>
          <w:shd w:fill="FFFFFF" w:val="clear"/>
        </w:rPr>
        <w:t>”), mutually agreed to terminate the Merger Agreement and Plan of Reorganization, dated as of June 16, 2026 (the “</w:t>
      </w:r>
      <w:r>
        <w:rPr>
          <w:rFonts w:ascii="Times New Roman" w:hAnsi="Times New Roman"/>
          <w:b/>
          <w:i/>
          <w:color w:val="000000"/>
          <w:sz w:val="20"/>
          <w:shd w:fill="FFFFFF" w:val="clear"/>
        </w:rPr>
        <w:t>Merger Agreement</w:t>
      </w:r>
      <w:r>
        <w:rPr>
          <w:rFonts w:ascii="Times New Roman" w:hAnsi="Times New Roman"/>
          <w:color w:val="000000"/>
          <w:sz w:val="20"/>
          <w:shd w:fill="FFFFFF" w:val="clear"/>
        </w:rPr>
        <w:t>”), by and among the Company, Fathom Merger Sub, Inc., a North Carolina Corporation and wholly owned subsidiary of the Company, and FTHM (the “</w:t>
      </w:r>
      <w:r>
        <w:rPr>
          <w:rFonts w:ascii="Times New Roman" w:hAnsi="Times New Roman"/>
          <w:b/>
          <w:i/>
          <w:color w:val="000000"/>
          <w:sz w:val="20"/>
          <w:shd w:fill="FFFFFF" w:val="clear"/>
        </w:rPr>
        <w:t>Termination</w:t>
      </w:r>
      <w:r>
        <w:rPr>
          <w:rFonts w:ascii="Times New Roman" w:hAnsi="Times New Roman"/>
          <w:color w:val="000000"/>
          <w:sz w:val="20"/>
          <w:shd w:fill="FFFFFF" w:val="clear"/>
        </w:rPr>
        <w: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and in accordance with the Merger Agreement, the Company and FTHM have mutually agreed to terminate the Merger Agreement by mutual written consent. The Merger Agreement provides that it may be terminated by the mutual written consent of the Company and FTHM, and upon such termination, the Merger Agreement shall immediately become null and void and each of the parties to the Merger Agreement shall be relieved of their duties and obligations arising under the Merger Agreement after the date of such termination.</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foregoing description of the Merger Agreement does not purport to be complete and is qualified in its entirety by reference to the full text of the Merger Agreement, which was filed as Exhibit 2.1 to the Company’s Current Report on Form 8-K filed with the SEC on June 17, 2026, and is incorporated herein by reference as Exhibit 2.1 to this Current Report on Form 8-K.</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tbl>
      <w:tblPr>
        <w:tblW w:w="5035" w:type="dxa"/>
        <w:jc w:val="left"/>
        <w:tblInd w:w="0" w:type="dxa"/>
        <w:tblLayout w:type="fixed"/>
        <w:tblCellMar>
          <w:top w:w="0" w:type="dxa"/>
          <w:left w:w="0" w:type="dxa"/>
          <w:bottom w:w="0" w:type="dxa"/>
          <w:right w:w="0" w:type="dxa"/>
        </w:tblCellMar>
      </w:tblPr>
      <w:tblGrid>
        <w:gridCol w:w="1055"/>
        <w:gridCol w:w="3980"/>
      </w:tblGrid>
      <w:tr>
        <w:trPr/>
        <w:tc>
          <w:tcPr>
            <w:tcW w:w="105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Item 2.02.    </w:t>
            </w:r>
          </w:p>
        </w:tc>
        <w:tc>
          <w:tcPr>
            <w:tcW w:w="398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 xml:space="preserve">Results of Operations and Financial Condition </w:t>
            </w:r>
          </w:p>
        </w:tc>
      </w:tr>
    </w:tbl>
    <w:p>
      <w:pPr>
        <w:pStyle w:val="TextBody"/>
        <w:bidi w:val="0"/>
        <w:spacing w:before="0" w:after="0"/>
        <w:jc w:val="left"/>
        <w:rPr>
          <w:sz w:val="20"/>
        </w:rPr>
      </w:pPr>
      <w:r>
        <w:rPr>
          <w:sz w:val="20"/>
        </w:rPr>
      </w:r>
    </w:p>
    <w:p>
      <w:pPr>
        <w:pStyle w:val="TextBody"/>
        <w:bidi w:val="0"/>
        <w:jc w:val="left"/>
        <w:rPr>
          <w:rFonts w:ascii="Times New Roman" w:hAnsi="Times New Roman"/>
          <w:color w:val="000000"/>
          <w:sz w:val="20"/>
          <w:shd w:fill="FFFFFF" w:val="clear"/>
        </w:rPr>
      </w:pPr>
      <w:r>
        <w:rPr>
          <w:rFonts w:ascii="Times New Roman" w:hAnsi="Times New Roman"/>
          <w:color w:val="000000"/>
          <w:sz w:val="20"/>
          <w:shd w:fill="FFFFFF" w:val="clear"/>
        </w:rPr>
        <w:t>The information disclosed below in Item 7.01 under the heading “Business Update” is incorporated herein by reference to this Item 2.02.</w:t>
      </w:r>
    </w:p>
    <w:tbl>
      <w:tblPr>
        <w:tblW w:w="2185" w:type="dxa"/>
        <w:jc w:val="left"/>
        <w:tblInd w:w="0" w:type="dxa"/>
        <w:tblLayout w:type="fixed"/>
        <w:tblCellMar>
          <w:top w:w="0" w:type="dxa"/>
          <w:left w:w="0" w:type="dxa"/>
          <w:bottom w:w="0" w:type="dxa"/>
          <w:right w:w="0" w:type="dxa"/>
        </w:tblCellMar>
      </w:tblPr>
      <w:tblGrid>
        <w:gridCol w:w="875"/>
        <w:gridCol w:w="131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131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Regulation FD.</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October 5, 2026, the Company issued a press release announcing the Termination of the Merger Agreement. A copy of the press release is furnished herewith as Exhibit 99.1 and incorporated herein by reference to this Item 7.01.</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 addition, on October 5, 2026, the Company issued a press release that included the following update regarding its business: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Business Update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The Company continues to execute on strategy, with business trajectory of its base business firmly on track.  </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Strong Revenue Momentum and Margin Outperformance.</w:t>
            </w:r>
            <w:r>
              <w:rPr>
                <w:rFonts w:ascii="Times New Roman" w:hAnsi="Times New Roman"/>
                <w:sz w:val="20"/>
              </w:rPr>
              <w:t> The Company is seeing encouraging revenue momentum across its core business, while gross margin continues to show significant year-over-year improvement. Based on current trends, gross margin is expected to exceed 30%, ahead of the Company’s previously stated target, reflecting continued improvement in business mix and operating execution.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Cost Reductions and Merger Synergies Ahead of Schedule.</w:t>
            </w:r>
            <w:r>
              <w:rPr>
                <w:rFonts w:ascii="Times New Roman" w:hAnsi="Times New Roman"/>
                <w:sz w:val="20"/>
              </w:rPr>
              <w:t xml:space="preserve"> The Company has made significant progress removing costs from the business, while integration efforts and anticipated merger synergies are developing faster than originally expected. Management remains focused on accelerating these opportunities while maintaining disciplined execution across the organization.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360" w:right="0" w:hanging="0"/>
              <w:jc w:val="left"/>
              <w:rPr/>
            </w:pPr>
            <w:r>
              <w:rPr/>
              <w:t>•</w:t>
            </w:r>
          </w:p>
        </w:tc>
        <w:tc>
          <w:tcPr>
            <w:tcW w:w="1008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Focused on the Core Business and Organic Growth.</w:t>
            </w:r>
            <w:r>
              <w:rPr>
                <w:rFonts w:ascii="Times New Roman" w:hAnsi="Times New Roman"/>
                <w:sz w:val="20"/>
              </w:rPr>
              <w:t xml:space="preserve"> As the housing and consumer environment continues to evolve, the Company remains focused on strengthening its core business, driving organic revenue growth, improving margins and continuing to reduce its cost structure. At this time, the Company does not anticipate pursuing additional acquisitions and intends to prioritize execution, integration and organic growth across its existing businesses.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Company has provided information regarding its preliminary estimated results for selected unaudited financial information for the three months ended September 30, 2026. The Company’s final results remain subject to management’s final review and adjustments, its other closing procedures, and any subsequent events. Accordingly, you should not place undue reliance on the Company’s preliminary estimated results for the three months ended September 30, 2026, which may differ from actual results. During the course of the preparation of the Company’s unaudited condensed consolidated financial statements for the three months ended September 30, 2026 and the notes thereto by management, additional items that require adjustments to the preliminary estimated results presented herein may be identified. For further discussion of some of the factors that may cause actual results to vary materially from the preliminary estimated results provided above, see “Cautionary Note Regarding Forward-Looking Statements” and the information set forth under the caption “Risk Factors” in the Company’s Annual Report on Form 10-K for the year ended December 31, 2025 and its Quarterly Report on Form 10-Q for the quarter ended June 30, 2026.</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preliminary estimated financial information included in this Current Report on Form 8-K has been prepared on the basis of currently available information by, and is the responsibility of, management and has not been reviewed by any third parties. The preliminary estimated results provided herein do not represent a comprehensive statement of the Company’s financial results and should not be viewed as a substitute for the unaudited condensed consolidated financial statements prepared in accordance with GAAP. In addition, such preliminary estimated results are not indicative of the results to be achieved in any future period.</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set forth in this Item 7.01 including the information set forth in Exhibit 99.1 shall not be deemed “filed” for purposes of Section 18 of the Securities Exchange Act of 1934, as amended (the “</w:t>
      </w:r>
      <w:r>
        <w:rPr>
          <w:rFonts w:ascii="Times New Roman" w:hAnsi="Times New Roman"/>
          <w:b/>
          <w:i/>
          <w:color w:val="000000"/>
          <w:sz w:val="20"/>
          <w:shd w:fill="FFFFFF" w:val="clear"/>
        </w:rPr>
        <w:t>Exchange Act</w:t>
      </w:r>
      <w:r>
        <w:rPr>
          <w:rFonts w:ascii="Times New Roman" w:hAnsi="Times New Roman"/>
          <w:color w:val="000000"/>
          <w:sz w:val="20"/>
          <w:shd w:fill="FFFFFF" w:val="clear"/>
        </w:rPr>
        <w: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spacing w:before="0" w:after="0"/>
        <w:jc w:val="left"/>
        <w:rPr>
          <w:sz w:val="20"/>
        </w:rPr>
      </w:pPr>
      <w:r>
        <w:rPr>
          <w:sz w:val="20"/>
        </w:rPr>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28" w:type="dxa"/>
          <w:right w:w="0" w:type="dxa"/>
        </w:tblCellMar>
      </w:tblPr>
      <w:tblGrid>
        <w:gridCol w:w="710"/>
        <w:gridCol w:w="60"/>
        <w:gridCol w:w="9435"/>
      </w:tblGrid>
      <w:tr>
        <w:trPr/>
        <w:tc>
          <w:tcPr>
            <w:tcW w:w="710" w:type="dxa"/>
            <w:tcBorders>
              <w:bottom w:val="single" w:sz="12" w:space="0" w:color="000000"/>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Number</w:t>
            </w:r>
          </w:p>
        </w:tc>
        <w:tc>
          <w:tcPr>
            <w:tcW w:w="60" w:type="dxa"/>
            <w:tcBorders/>
            <w:tcMar>
              <w:bottom w:w="0" w:type="dxa"/>
            </w:tcMar>
            <w:vAlign w:val="center"/>
          </w:tcPr>
          <w:p>
            <w:pPr>
              <w:pStyle w:val="TableContents"/>
              <w:bidi w:val="0"/>
              <w:spacing w:before="0" w:after="283"/>
              <w:jc w:val="left"/>
              <w:rPr/>
            </w:pPr>
            <w:r>
              <w:rPr/>
              <w:t> </w:t>
            </w:r>
          </w:p>
        </w:tc>
        <w:tc>
          <w:tcPr>
            <w:tcW w:w="9435" w:type="dxa"/>
            <w:tcBorders>
              <w:bottom w:val="single" w:sz="12" w:space="0" w:color="000000"/>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Description</w:t>
            </w:r>
          </w:p>
        </w:tc>
      </w:tr>
      <w:tr>
        <w:trPr/>
        <w:tc>
          <w:tcPr>
            <w:tcW w:w="710" w:type="dxa"/>
            <w:tcBorders/>
            <w:tcMar>
              <w:bottom w:w="0" w:type="dxa"/>
            </w:tcMar>
            <w:vAlign w:val="center"/>
          </w:tcPr>
          <w:p>
            <w:pPr>
              <w:pStyle w:val="TableContents"/>
              <w:bidi w:val="0"/>
              <w:spacing w:before="0" w:after="0"/>
              <w:jc w:val="both"/>
              <w:rPr/>
            </w:pPr>
            <w:hyperlink r:id="rId2">
              <w:r>
                <w:rPr>
                  <w:rStyle w:val="InternetLink"/>
                  <w:rFonts w:ascii="Times New Roman" w:hAnsi="Times New Roman"/>
                  <w:color w:val="000080"/>
                  <w:sz w:val="20"/>
                </w:rPr>
                <w:t>2.1</w:t>
              </w:r>
            </w:hyperlink>
            <w:r>
              <w:rPr>
                <w:rFonts w:ascii="Times New Roman" w:hAnsi="Times New Roman"/>
                <w:color w:val="000000"/>
                <w:sz w:val="20"/>
              </w:rPr>
              <w:t>*</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Merger Agreement and Plan of Reorganization, dated as of June 16, 2026, by and among Bed Bath &amp; Beyond, Inc., Fathom Merger Sub, Inc., and Fathom Holdings Inc. (incorporated by reference to Exhibit 2.1 to the Company’s Current Report on Form 8-K filed with the SEC on June 17, 2026</w:t>
            </w:r>
          </w:p>
        </w:tc>
      </w:tr>
      <w:tr>
        <w:trPr/>
        <w:tc>
          <w:tcPr>
            <w:tcW w:w="710" w:type="dxa"/>
            <w:tcBorders/>
            <w:tcMar>
              <w:bottom w:w="0" w:type="dxa"/>
            </w:tcMar>
            <w:vAlign w:val="center"/>
          </w:tcPr>
          <w:p>
            <w:pPr>
              <w:pStyle w:val="TableContents"/>
              <w:bidi w:val="0"/>
              <w:spacing w:before="0" w:after="0"/>
              <w:jc w:val="both"/>
              <w:rPr/>
            </w:pPr>
            <w:hyperlink w:anchor="ef20083268_ex99-1.htm">
              <w:r>
                <w:rPr>
                  <w:rStyle w:val="InternetLink"/>
                  <w:rFonts w:ascii="Times New Roman" w:hAnsi="Times New Roman"/>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Press Release, dated October 5, 2026.</w:t>
            </w:r>
          </w:p>
        </w:tc>
      </w:tr>
      <w:tr>
        <w:trPr/>
        <w:tc>
          <w:tcPr>
            <w:tcW w:w="710"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104</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Cover Page Interactive Data File (the cover page XBRL tags are embedded within the iXBRL document)</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Certain of the schedules and exhibits to the agreement have been omitted pursuant to Item 601(a)(5) of Regulation S-K. A copy of any omitted schedule or exhibit will be furnished to the Securities and Exchange Commission upon request.</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Cautionary Note Regarding 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This Current Report on Form 8-K contains forward-looking statements within the meaning of the federal securities laws. Such forward-looking statements include all statements other than statements of historical fact, including but not limited to statements regarding the Company’s preliminary estimated results, plans and strategies for the Company, planned commercial arrangements, planned acquisitions, our industry, business strategy, plans, goals and expectations concerning our market position, future operations and other financial and operating information.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Forward-looking statements are neither promises nor guarantees and involve risks, uncertainties and other important factors that may cause actual results to differ materially from any future results expressed or implied by the forward-looking statements, including, but not limited to: market and other conditions, the anticipated expansion of Elfa and SFV Services; customer, data and revenue-sharing initiatives; potential investments or acquisitions; and the expected benefits and timing of these initiatives, and other important factors discussed under the caption “Risk Factors” in the Company’s Annual Report on Form 10-K for the year ended December 31, 2025, its Quarterly Report on Form 10-Q for the quarter ended June 30, 2026, as such factors may be updated from time to time in the Company’s subsequent filings with the SEC.</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center"/>
        <w:rPr>
          <w:sz w:val="20"/>
        </w:rPr>
      </w:pPr>
      <w:r>
        <w:rPr>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sz w:val="20"/>
        </w:rPr>
      </w:pPr>
      <w:r>
        <w:rPr>
          <w:sz w:val="20"/>
        </w:rPr>
      </w:r>
    </w:p>
    <w:tbl>
      <w:tblPr>
        <w:tblW w:w="3550" w:type="dxa"/>
        <w:jc w:val="left"/>
        <w:tblInd w:w="0" w:type="dxa"/>
        <w:tblLayout w:type="fixed"/>
        <w:tblCellMar>
          <w:top w:w="0" w:type="dxa"/>
          <w:left w:w="0" w:type="dxa"/>
          <w:bottom w:w="0" w:type="dxa"/>
          <w:right w:w="0" w:type="dxa"/>
        </w:tblCellMar>
      </w:tblPr>
      <w:tblGrid>
        <w:gridCol w:w="60"/>
        <w:gridCol w:w="455"/>
        <w:gridCol w:w="3035"/>
      </w:tblGrid>
      <w:tr>
        <w:trPr/>
        <w:tc>
          <w:tcPr>
            <w:tcW w:w="60" w:type="dxa"/>
            <w:tcBorders/>
            <w:vAlign w:val="center"/>
          </w:tcPr>
          <w:p>
            <w:pPr>
              <w:pStyle w:val="TableContents"/>
              <w:bidi w:val="0"/>
              <w:spacing w:before="0" w:after="283"/>
              <w:jc w:val="left"/>
              <w:rPr/>
            </w:pPr>
            <w:r>
              <w:rPr/>
              <w:t> </w:t>
            </w:r>
          </w:p>
        </w:tc>
        <w:tc>
          <w:tcPr>
            <w:tcW w:w="3490" w:type="dxa"/>
            <w:gridSpan w:val="2"/>
            <w:tcBorders/>
            <w:vAlign w:val="center"/>
          </w:tcPr>
          <w:p>
            <w:pPr>
              <w:pStyle w:val="TableContents"/>
              <w:bidi w:val="0"/>
              <w:spacing w:before="0" w:after="0"/>
              <w:jc w:val="left"/>
              <w:rPr>
                <w:rFonts w:ascii="Times New Roman" w:hAnsi="Times New Roman"/>
                <w:b/>
                <w:smallCaps/>
                <w:color w:val="000000"/>
                <w:sz w:val="20"/>
              </w:rPr>
            </w:pPr>
            <w:r>
              <w:rPr>
                <w:rFonts w:ascii="Times New Roman" w:hAnsi="Times New Roman"/>
                <w:b/>
                <w:smallCaps/>
                <w:color w:val="000000"/>
                <w:sz w:val="20"/>
              </w:rPr>
              <w:t>Neighborhood Intelligence, Inc.</w:t>
            </w:r>
          </w:p>
        </w:tc>
      </w:tr>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303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Mehgan Peetz</w:t>
            </w:r>
          </w:p>
        </w:tc>
      </w:tr>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Mehgan Peetz</w:t>
            </w:r>
          </w:p>
        </w:tc>
      </w:tr>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Administrative &amp; Legal Officer</w:t>
            </w:r>
          </w:p>
        </w:tc>
      </w:tr>
      <w:tr>
        <w:trPr/>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w:t>
            </w:r>
          </w:p>
        </w:tc>
        <w:tc>
          <w:tcPr>
            <w:tcW w:w="30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October 5, 2026</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0" w:name="ef20083268_ex99-1.htm"/>
      <w:bookmarkStart w:id="1" w:name="ksef20083268_ex991"/>
      <w:bookmarkStart w:id="2" w:name="ef20083268_ex99-1.htm"/>
      <w:bookmarkStart w:id="3" w:name="ksef20083268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Fathom Holdings and Neighborhood Intelligence Announce Mutual Termination of Proposed Merger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Boards conclude that current valuations do not reflect the fair value of either company; Neighborhood Intelligence to retain blockchain asset ownership while the companies explore collaboration, including data sharing</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CARY, N.C. and NASHVILLE, Tenn. — October [5], 2026</w:t>
      </w:r>
      <w:r>
        <w:rPr>
          <w:rFonts w:ascii="Times New Roman" w:hAnsi="Times New Roman"/>
          <w:color w:val="000000"/>
          <w:sz w:val="24"/>
        </w:rPr>
        <w:t xml:space="preserve"> — </w:t>
      </w:r>
      <w:r>
        <w:rPr>
          <w:rFonts w:ascii="Times New Roman" w:hAnsi="Times New Roman"/>
          <w:color w:val="000000"/>
          <w:sz w:val="20"/>
        </w:rPr>
        <w:t>Fathom Holdings Inc. (NASDAQ: FTHM) (“Fathom”) and Neighborhood Intelligence, Inc. (Nasdaq: NXH) (“NXH”) today announced that their respective Boards of Directors have mutually agreed to terminate the previously announced merger agreement between the companies.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After careful consideration of the proposed transaction, the Boards of both companies concluded that proceeding with a merger at current valuations would not appropriately reflect the fair value of either company for its shareholders. The companies believe the timing is not right to combine their businesses, and have mutually agreed to terminate the merger agreement.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Separately, following a review by its Board and management and discussions with shareholders, Neighborhood Intelligence determined that retaining ownership and control of its blockchain and digital asset investments offers its shareholders the greatest opportunity to participate in their potential future value. The Company remains encouraged by tZERO’s progress and believes tZERO should continue executing its strategic plan while Neighborhood Intelligence maintains its ownership position.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Neighborhood Intelligence to Retain Blockchain Asset Ownership</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Neighborhood Intelligence believes the potential value of its blockchain assets is not appropriately reflected in current market valuations. The Company’s decision to retain ownership and control is intended to preserve the opportunity for shareholders to participate in potential future value as these assets and the broader blockchain ecosystem develop. This decision is independent of the companies’ decision not to proceed with a merger at this time.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Fathom and NXH to Pursue Strategic Collaboration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Although a merger is not the appropriate structure at this time, the companies intend to continue exploring ways to work together where collaboration can create value. Areas under consideration include data sharing and the use of each company’s complementary businesses, technology, relationships and other assets, subject to appropriate agreements and applicable requirements. The companies expect to remain independent and focused on their respective operating priorities.</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w:t>
      </w:r>
      <w:r>
        <w:rPr>
          <w:rFonts w:ascii="Times New Roman" w:hAnsi="Times New Roman"/>
          <w:color w:val="000000"/>
          <w:sz w:val="20"/>
        </w:rPr>
        <w:t>We entered into the merger transaction because we believed that combining Fathom’s national real estate and title businesses with Neighborhood Intelligence’s technology, data and other assets had the potential to create long-term value,” said Scott Flanders, Fathom’s Chairman of the Board. “At current valuations, however, we do not believe a merger appropriately reflects the fair value of either company. Fathom has made meaningful progress, and we look forward to exploring data sharing and other areas of collaboration while each company pursues its own strategy.”</w:t>
      </w:r>
    </w:p>
    <w:p>
      <w:pPr>
        <w:pStyle w:val="TextBody"/>
        <w:bidi w:val="0"/>
        <w:spacing w:before="0" w:after="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Our responsibility is to continually evaluate the best path to maximize long-term value for our shareholders,” said Marcus Lemonis, Chairman and Chief Executive Officer of Neighborhood Intelligence. “After listening to shareholders and reviewing the alternatives, we believe retaining ownership and control of our blockchain assets while allowing tZERO to continue executing its plan is the appropriate path. We are encouraged by the potential of these assets and believe retaining them gives our shareholders the best opportunity to participate in their future value. Separately, we and Fathom have determined that a merger at current valuations would not appropriately reflect the fair value of either company. We remain supportive of Fathom’s progress and look forward to working together, including exploring opportunities around data sharing.”</w:t>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Neighborhood Intelligence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Neighborhood Intelligence (Nasdaq: NXH), previously Bed Bath &amp; Beyond, Inc., is a data and technology company organized around three interconnected pillars: Omni-Channel Retail, Home Services and Home Ownership.</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Its portfolio includes Bed Bath &amp; Beyond, Overstock, buybuy BABY, Kirkland’s, The Container Store, Elfa and Closet Works, along with its expanding Home Services and Home Ownership businesses.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Neighborhood Intelligence connects products, services, financing, expertise and data to make homeownership simpler and more affordable.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Fathom Holdings Inc.</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Fathom Holdings Inc. is a national, technology-driven real estate services platform that integrates residential brokerage, mortgage, title and SaaS offerings through its proprietary cloud-based software, intelliAgent. Fathom’s brands include Fathom Realty, Encompass Lending, intelliAgent, Real Results, MHG, and Verus Title.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more information, visit FathomInc.com.</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press release contains forward-looking statements within the meaning of Section 27A of the Securities Act of 1933, as amended, and Section 21E of the Securities Exchange Act of 1934, as amended. Such forward-looking statements include all statements other than statements of historical fact, including but not limited to statements regarding the effects of the termination of the previously announced merger agreement between Fathom and NXH; the potential strategic collaboration between Fathom and NXH, including whether the parties will enter into a collaboration agreement and the anticipated benefits of any such collaboration; Fathom’s ability to execute its standalone business strategy; and Fathom’s future business, financial condition, results of operations and prospects; Neighborhood Intelligence’s plans to retain ownership and control of its blockchain and digital asset investments; the potential future value of those assets; tZERO’s ability to execute its strategic plan; and the parties’ ability to establish a collaboration, including data-sharing arrangements, and realize benefits from it.</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are neither promises nor guarantees, but involve known and unknown risks, uncertainties and other important factors outside NXH’s and Fathom’s control that may cause actual results, performance or achievements to be materially different from any future results, performance or achievements expressed or implied by the forward-looking statements, including, but not limited to: the effects of termination of the previously announced merger agreement on Fathom’s business, relationships, operations, financial condition and stock price; costs and expenses incurred in connection with the proposed merger, its termination and related matters; Fathom’s ability to execute its business strategy independently and realize anticipated benefits from any strategic collaboration with NXH; risks relating to Fathom’s outstanding senior secured convertible note or its subordinated secured bridge note to NXH, including Fathom’s ability to repay or refinance those notes; the ability of Fathom to acquire additional relevant operating assets; disruption to NXH’s or Fathom’s plans and operations resulting from the termination or any potential collaboration; the ability of NXH and Fathom to retain and hire key personnel; and other risks as set forth in the Risk Factors sections of NXH’s and Fathom’s most recent Form 10-Ks as filed with the SEC and supplemented from time to time in other NXH and Fathom filings made with the SEC. Additional risks and uncertainties include the volatility, adoption, commercial development and regulatory treatment of blockchain and digital assets; the ability of tZERO and other relevant businesses to execute their plans; the value and liquidity of Neighborhood Intelligence’s digital asset investments; and the negotiation, implementation, privacy, cybersecurity and regulatory requirements associated with any data-sharing or other collaboration arrangement.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Copies of each of NXH’s and Fathom’s Form 10-K and other SEC filings are available on the SEC’s website. Each of NXH and Fathom undertakes no obligation to update these statements for revisions or changes after the date of this release, except as required by law.</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Contacts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ir@beyond.com</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pr@beyond.com</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30713/000114036126025607/ef20076327_ex2-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2702</Words>
  <Characters>15875</Characters>
  <CharactersWithSpaces>18510</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