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3302x1_424b5_200-cov_pg1"/>
        <w:bookmarkStart w:id="1" w:name="ny20083302x1_424b5.htm"/>
        <w:bookmarkStart w:id="2" w:name="ksny20083302x1_424b5"/>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Filed Pursuant to Rule 424(b)(5)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333-297978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SUPPLEMENT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 Prospectus dated August 18, 2026) </w:t>
      </w:r>
    </w:p>
    <w:p>
      <w:pPr>
        <w:pStyle w:val="TextBody"/>
        <w:bidi w:val="0"/>
        <w:spacing w:before="115" w:after="283"/>
        <w:jc w:val="center"/>
        <w:rPr>
          <w:color w:val="000000"/>
        </w:rPr>
      </w:pPr>
      <w:r>
        <w:rPr>
          <w:color w:val="000000"/>
        </w:rPr>
        <w:drawing>
          <wp:inline distT="0" distB="0" distL="0" distR="0">
            <wp:extent cx="27908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90825" cy="733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80" w:after="283"/>
        <w:jc w:val="center"/>
        <w:rPr>
          <w:rFonts w:ascii="Times New Roman;Times;serif" w:hAnsi="Times New Roman;Times;serif"/>
          <w:b/>
          <w:color w:val="000000"/>
          <w:sz w:val="22"/>
        </w:rPr>
      </w:pPr>
      <w:r>
        <w:rPr>
          <w:rFonts w:ascii="Times New Roman;Times;serif" w:hAnsi="Times New Roman;Times;serif"/>
          <w:b/>
          <w:color w:val="000000"/>
          <w:sz w:val="22"/>
        </w:rPr>
        <w:t>11,243,511 Shares of Common Stock</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Pre-Funded Warrants to Purchase up to 5,241,997 Shares of Common Stock</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Warrants to Purchase up to 16,123,189 Shares of Common Stock</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Placement Agent Warrants to Purchase up to 494,565 Shares of Common Stock </w:t>
      </w:r>
    </w:p>
    <w:p>
      <w:pPr>
        <w:pStyle w:val="TextBody"/>
        <w:bidi w:val="0"/>
        <w:spacing w:before="4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We are offering 11,243,511 shares of our common stock, par value $0.0001 per share, and pre-funded warrants to purchase 5,241,997 shares of our common stock, and accompanying warrants to purchase up to 16,123,189 shares of our common stock, or the accompanying warrants, in a registered direct offering directly to certain investors. This offering is being made directly to certain investors, or the Investors, pursuant to this prospectus supplement, the accompanying base prospectus and a securities purchase agreement between us and the Investors. This prospectus supplement also relates to the offering of the shares of our common stock issuable upon exercise of the pre-funded warrants. </w:t>
      </w:r>
    </w:p>
    <w:p>
      <w:pPr>
        <w:pStyle w:val="TextBody"/>
        <w:bidi w:val="0"/>
        <w:spacing w:before="4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The common stock, or the pre-funded warrants, as applicable, and the accompanying warrants will be sold in combination, with each share of common stock, or share of common stock underlying a pre-funded warrant, as applicable, accompanied by a warrant to purchase one share of our common stock. The combined purchase price for each share of common stock and accompanying warrant is $2.76. The combined purchase price for each pre-funded warrant to purchase one share of common stock and accompanying warrant is $2.759 per share underlying the pre-funded warrant, which is equal to the combined purchase price for each share of common stock and accompanying warrant being sold in this offering, minus $0.001, which is the pre-funded warrant’s exercise price per share. This prospectus supplement also relates to the offering of the shares of our common stock issuable upon exercise of the accompanying warrants. </w:t>
      </w:r>
    </w:p>
    <w:p>
      <w:pPr>
        <w:pStyle w:val="TextBody"/>
        <w:bidi w:val="0"/>
        <w:spacing w:before="4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The pre-funded warrants will have an exercise price of $0.001 per share of common stock and will be exercisable at any time after the date of issuance of such pre-funded warrants, subject to certain ownership limitations. Each accompanying warrant will have an exercise price of $3.45 per share of common stock, will be exercisable beginning on the six (6) month anniversary of the date of issuance, subject to certain ownership limitations, and will expire five (5) years from the initial exercise date. </w:t>
      </w:r>
    </w:p>
    <w:p>
      <w:pPr>
        <w:pStyle w:val="TextBody"/>
        <w:bidi w:val="0"/>
        <w:spacing w:before="4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The shares of common stock, or pre-funded warrants, as applicable, and the accompanying warrants are immediately separable and will be issued separately, but must be purchased together in this offering. </w:t>
      </w:r>
    </w:p>
    <w:p>
      <w:pPr>
        <w:pStyle w:val="TextBody"/>
        <w:bidi w:val="0"/>
        <w:spacing w:before="4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Rodman &amp; Renshaw LLC has agreed to serve as exclusive placement agent, or the placement agent, in connection with this offering. We have agreed to pay the placement agent (i) a fee in cash equal to 5.75% of the aggregate gross proceeds received by us from the sale of shares of common stock and the warrants in this offering other than the sale of shares of common stock pursuant to a president’s list (the “President’s List”), and (ii) upon any exercise for cash of any warrants issued to investors in the offering a cash fee equal to 5.75% of the aggregate gross exercise price paid in cash with respect thereto. In addition, we have agreed to issue to the placement agent or its designees warrants to purchase up to 494,565 shares of common stock, or 3.0% of the aggregate number of shares of common stock and shares of common stock issuable upon exercise of the pre-funded warrants placed in the offering, or the placement agent warrants. The placement agent warrants will have the same terms as the accompanying warrants issued to investors in this offering except placement agent warrants expire five (5) years from the commencement of sales in the offering. We have also agreed to pay the placement agent $65,000 for legal fees and up to $15,950 for clearing expenses. See “</w:t>
      </w:r>
      <w:r>
        <w:rPr>
          <w:rFonts w:ascii="Times New Roman;Times;serif" w:hAnsi="Times New Roman;Times;serif"/>
          <w:i/>
          <w:color w:val="000000"/>
          <w:sz w:val="17"/>
        </w:rPr>
        <w:t>Plan of Distribution</w:t>
      </w:r>
      <w:r>
        <w:rPr>
          <w:rFonts w:ascii="Times New Roman;Times;serif" w:hAnsi="Times New Roman;Times;serif"/>
          <w:color w:val="000000"/>
          <w:sz w:val="17"/>
        </w:rPr>
        <w:t xml:space="preserve">” of this prospectus supplement for more information. </w:t>
      </w:r>
    </w:p>
    <w:p>
      <w:pPr>
        <w:pStyle w:val="TextBody"/>
        <w:bidi w:val="0"/>
        <w:spacing w:before="4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This prospectus also relates to the issuance of the placement agent warrants and the shares of common stock that are issuable from time to time upon exercise of such placement agent warrants. </w:t>
      </w:r>
    </w:p>
    <w:p>
      <w:pPr>
        <w:pStyle w:val="TextBody"/>
        <w:bidi w:val="0"/>
        <w:spacing w:before="4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Our common stock is listed on the Nasdaq Global Select Market under the symbol “NXH.” On October 2, 2026, the last reported sale price of our common stock on the Nasdaq Global Select Market was $2.76 per share. There is no established trading market for the warrants, and we do not expect a market to develop. In addition, we do not intend to list the warrants being offered hereunder on any securities exchange or automated quotation system. Without an active trading market, the liquidity of the warrants will be limited. </w:t>
      </w:r>
    </w:p>
    <w:tbl>
      <w:tblPr>
        <w:tblW w:w="7685" w:type="dxa"/>
        <w:jc w:val="left"/>
        <w:tblInd w:w="0" w:type="dxa"/>
        <w:tblLayout w:type="fixed"/>
        <w:tblCellMar>
          <w:top w:w="0" w:type="dxa"/>
          <w:left w:w="0" w:type="dxa"/>
          <w:bottom w:w="0" w:type="dxa"/>
          <w:right w:w="0" w:type="dxa"/>
        </w:tblCellMar>
      </w:tblPr>
      <w:tblGrid>
        <w:gridCol w:w="2480"/>
        <w:gridCol w:w="140"/>
        <w:gridCol w:w="140"/>
        <w:gridCol w:w="1580"/>
        <w:gridCol w:w="140"/>
        <w:gridCol w:w="140"/>
        <w:gridCol w:w="1580"/>
        <w:gridCol w:w="140"/>
        <w:gridCol w:w="140"/>
        <w:gridCol w:w="1205"/>
      </w:tblGrid>
      <w:tr>
        <w:trPr/>
        <w:tc>
          <w:tcPr>
            <w:tcW w:w="2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Per Share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Common Stock and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Accompanying Warrant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Per Pre-Funded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Warrant and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Accompanying Warrant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Total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Offering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499" w:right="0" w:hanging="0"/>
              <w:jc w:val="left"/>
              <w:rPr>
                <w:rFonts w:ascii="Times New Roman;Times;serif" w:hAnsi="Times New Roman;Times;serif"/>
                <w:color w:val="000000"/>
                <w:sz w:val="17"/>
              </w:rPr>
            </w:pPr>
            <w:r>
              <w:rPr>
                <w:rFonts w:ascii="Times New Roman;Times;serif" w:hAnsi="Times New Roman;Times;serif"/>
                <w:color w:val="000000"/>
                <w:sz w:val="17"/>
              </w:rPr>
              <w:t>$2.76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499" w:right="0" w:hanging="0"/>
              <w:jc w:val="left"/>
              <w:rPr>
                <w:rFonts w:ascii="Times New Roman;Times;serif" w:hAnsi="Times New Roman;Times;serif"/>
                <w:color w:val="000000"/>
                <w:sz w:val="17"/>
              </w:rPr>
            </w:pPr>
            <w:r>
              <w:rPr>
                <w:rFonts w:ascii="Times New Roman;Times;serif" w:hAnsi="Times New Roman;Times;serif"/>
                <w:color w:val="000000"/>
                <w:sz w:val="17"/>
              </w:rPr>
              <w:t>$2.759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$45,494,760.08 </w:t>
            </w:r>
          </w:p>
        </w:tc>
      </w:tr>
      <w:tr>
        <w:trPr/>
        <w:tc>
          <w:tcPr>
            <w:tcW w:w="248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Placement agent’s fees(1)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499" w:right="0" w:hanging="0"/>
              <w:jc w:val="left"/>
              <w:rPr>
                <w:rFonts w:ascii="Times New Roman;Times;serif" w:hAnsi="Times New Roman;Times;serif"/>
                <w:color w:val="000000"/>
                <w:sz w:val="17"/>
              </w:rPr>
            </w:pPr>
            <w:r>
              <w:rPr>
                <w:rFonts w:ascii="Times New Roman;Times;serif" w:hAnsi="Times New Roman;Times;serif"/>
                <w:color w:val="000000"/>
                <w:sz w:val="17"/>
              </w:rPr>
              <w:t>$0.1587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499" w:right="0" w:hanging="0"/>
              <w:jc w:val="left"/>
              <w:rPr>
                <w:rFonts w:ascii="Times New Roman;Times;serif" w:hAnsi="Times New Roman;Times;serif"/>
                <w:color w:val="000000"/>
                <w:sz w:val="17"/>
              </w:rPr>
            </w:pPr>
            <w:r>
              <w:rPr>
                <w:rFonts w:ascii="Times New Roman;Times;serif" w:hAnsi="Times New Roman;Times;serif"/>
                <w:color w:val="000000"/>
                <w:sz w:val="17"/>
              </w:rPr>
              <w:t>$0.1587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 xml:space="preserve">2,443,750.04 </w:t>
            </w:r>
          </w:p>
        </w:tc>
      </w:tr>
      <w:tr>
        <w:trPr/>
        <w:tc>
          <w:tcPr>
            <w:tcW w:w="248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Proceeds, before expenses, to us(2)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499" w:right="0" w:hanging="0"/>
              <w:jc w:val="left"/>
              <w:rPr>
                <w:rFonts w:ascii="Times New Roman;Times;serif" w:hAnsi="Times New Roman;Times;serif"/>
                <w:color w:val="000000"/>
                <w:sz w:val="17"/>
              </w:rPr>
            </w:pPr>
            <w:r>
              <w:rPr>
                <w:rFonts w:ascii="Times New Roman;Times;serif" w:hAnsi="Times New Roman;Times;serif"/>
                <w:color w:val="000000"/>
                <w:sz w:val="17"/>
              </w:rPr>
              <w:t>$2.6013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499" w:right="0" w:hanging="0"/>
              <w:jc w:val="left"/>
              <w:rPr>
                <w:rFonts w:ascii="Times New Roman;Times;serif" w:hAnsi="Times New Roman;Times;serif"/>
                <w:color w:val="000000"/>
                <w:sz w:val="17"/>
              </w:rPr>
            </w:pPr>
            <w:r>
              <w:rPr>
                <w:rFonts w:ascii="Times New Roman;Times;serif" w:hAnsi="Times New Roman;Times;serif"/>
                <w:color w:val="000000"/>
                <w:sz w:val="17"/>
              </w:rPr>
              <w:t>$2.6003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$43,051,010.04</w:t>
            </w:r>
          </w:p>
        </w:tc>
      </w:tr>
      <w:tr>
        <w:trPr/>
        <w:tc>
          <w:tcPr>
            <w:tcW w:w="24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8" w:type="dxa"/>
            <w:tcBorders/>
            <w:vAlign w:val="center"/>
          </w:tcPr>
          <w:p>
            <w:pPr>
              <w:pStyle w:val="TableContents"/>
              <w:bidi w:val="0"/>
              <w:spacing w:before="0" w:after="0"/>
              <w:jc w:val="both"/>
              <w:rPr/>
            </w:pPr>
            <w:r>
              <w:rPr>
                <w:rFonts w:ascii="Times New Roman;Times;serif" w:hAnsi="Times New Roman;Times;serif"/>
                <w:color w:val="000000"/>
                <w:sz w:val="16"/>
              </w:rPr>
              <w:t>Represents a cash fee equal to 5.75% of the aggregate purchase price paid by investors in this offering other than the President’s List. We have also agreed to pay the Placement Agent for certain expenses incurred in connection with this offering for legal fees up to $65,000 and $15,950 for clearing expenses. Additionally, we have agreed to issue placement agent warrants to purchase up to 494,565 shares of common stock, equal to 3.0% of the aggregate number of shares and shares of common stock issuable upon exercise of the pre-funded warrants placed, with the same terms as the accompanying warrants issued to investors in this offering except placement agent warrants expire five (5) years from the commencement of sales in the offering. This prospectus supplement also relates to the offering of the shares of our common stock issuable upon exercise of the placement agent warrants. See “</w:t>
            </w:r>
            <w:r>
              <w:rPr>
                <w:rFonts w:ascii="Times New Roman;Times;serif" w:hAnsi="Times New Roman;Times;serif"/>
                <w:i/>
                <w:color w:val="000000"/>
                <w:sz w:val="16"/>
              </w:rPr>
              <w:t>Plan of Distribution</w:t>
            </w:r>
            <w:r>
              <w:rPr>
                <w:rFonts w:ascii="Times New Roman;Times;serif" w:hAnsi="Times New Roman;Times;serif"/>
                <w:color w:val="000000"/>
                <w:sz w:val="16"/>
              </w:rPr>
              <w:t>” beginning on page S-</w:t>
            </w:r>
            <w:hyperlink w:anchor="sPOD">
              <w:r>
                <w:rPr>
                  <w:rStyle w:val="InternetLink"/>
                  <w:rFonts w:ascii="Times New Roman;Times;serif" w:hAnsi="Times New Roman;Times;serif"/>
                  <w:color w:val="000080"/>
                  <w:sz w:val="16"/>
                </w:rPr>
                <w:t>19</w:t>
              </w:r>
            </w:hyperlink>
            <w:r>
              <w:rPr>
                <w:rFonts w:ascii="Times New Roman;Times;serif" w:hAnsi="Times New Roman;Times;serif"/>
                <w:color w:val="000000"/>
                <w:sz w:val="16"/>
              </w:rPr>
              <w:t xml:space="preserve"> of this prospectus supplement for a description of the compensation to be received by the placement agent.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 of the offering proceeds to us presented in this table does not give effect to the exercise, if any, of the accompanying warrants, the pre-funded warrants or the placement agent warrants. </w:t>
            </w:r>
          </w:p>
        </w:tc>
      </w:tr>
    </w:tbl>
    <w:p>
      <w:pPr>
        <w:pStyle w:val="TextBody"/>
        <w:bidi w:val="0"/>
        <w:spacing w:before="40" w:after="283"/>
        <w:ind w:left="0" w:right="0" w:firstLine="400"/>
        <w:jc w:val="both"/>
        <w:rPr>
          <w:rFonts w:ascii="Times New Roman;Times;serif" w:hAnsi="Times New Roman;Times;serif"/>
          <w:b/>
          <w:color w:val="000000"/>
          <w:sz w:val="17"/>
        </w:rPr>
      </w:pPr>
      <w:r>
        <w:rPr>
          <w:rFonts w:ascii="Times New Roman;Times;serif" w:hAnsi="Times New Roman;Times;serif"/>
          <w:b/>
          <w:color w:val="000000"/>
          <w:sz w:val="17"/>
        </w:rPr>
        <w:t>INVESTING IN OUR SECURITIES INVOLVES RISKS. SEE THE SECTION TITLED “</w:t>
      </w:r>
      <w:r>
        <w:rPr>
          <w:rFonts w:ascii="Times New Roman;Times;serif" w:hAnsi="Times New Roman;Times;serif"/>
          <w:b/>
          <w:i/>
          <w:color w:val="000000"/>
          <w:sz w:val="17"/>
        </w:rPr>
        <w:t>RISK FACTORS</w:t>
      </w:r>
      <w:r>
        <w:rPr>
          <w:rFonts w:ascii="Times New Roman;Times;serif" w:hAnsi="Times New Roman;Times;serif"/>
          <w:b/>
          <w:color w:val="000000"/>
          <w:sz w:val="17"/>
        </w:rPr>
        <w:t xml:space="preserve">” </w:t>
      </w:r>
      <w:r>
        <w:rPr>
          <w:rFonts w:ascii="Times New Roman;Times;serif" w:hAnsi="Times New Roman;Times;serif"/>
          <w:b w:val="false"/>
          <w:color w:val="000000"/>
          <w:sz w:val="17"/>
        </w:rPr>
        <w:t xml:space="preserve">IN THIS PROSPECTUS SUPPLEMENT AND THE ACCOMPANYING BASE PROSPECTUS AND OUR FILINGS WITH THE SECURITIES AND EXCHANGE COMMISSION, OR THE SEC, THAT ARE INCORPORATED BY REFERENCE HEREIN AND THEREIN TO READ ABOUT FACTORS YOU SHOULD CONSIDER BEFORE INVESTING IN OUR SECURITIES. </w:t>
      </w:r>
    </w:p>
    <w:p>
      <w:pPr>
        <w:pStyle w:val="TextBody"/>
        <w:bidi w:val="0"/>
        <w:spacing w:before="4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We expect to deliver the shares of common stock, or pre-funded warrants, as applicable, the accompanying warrants and the placement agent warrants on or about October 6, 2026, subject to customary closing conditions. </w:t>
      </w:r>
    </w:p>
    <w:p>
      <w:pPr>
        <w:pStyle w:val="TextBody"/>
        <w:bidi w:val="0"/>
        <w:spacing w:before="40" w:after="283"/>
        <w:ind w:left="0" w:right="0" w:firstLine="400"/>
        <w:jc w:val="both"/>
        <w:rPr>
          <w:rFonts w:ascii="Times New Roman;Times;serif" w:hAnsi="Times New Roman;Times;serif"/>
          <w:b/>
          <w:color w:val="000000"/>
          <w:sz w:val="17"/>
        </w:rPr>
      </w:pPr>
      <w:r>
        <w:rPr>
          <w:rFonts w:ascii="Times New Roman;Times;serif" w:hAnsi="Times New Roman;Times;serif"/>
          <w:b/>
          <w:color w:val="000000"/>
          <w:sz w:val="17"/>
        </w:rPr>
        <w:t>Neither the SEC nor any state securities commission has approved or disapproved of these securities or passed upon the adequacy or accuracy of this prospectus supplement or the accompanying base prospectus. Any representation to the contrary is a criminal offense</w:t>
      </w:r>
      <w:r>
        <w:rPr>
          <w:rFonts w:ascii="Times New Roman;Times;serif" w:hAnsi="Times New Roman;Times;serif"/>
          <w:b w:val="false"/>
          <w:color w:val="000000"/>
          <w:sz w:val="17"/>
        </w:rPr>
        <w:t xml:space="preserve">. </w:t>
      </w:r>
    </w:p>
    <w:p>
      <w:pPr>
        <w:pStyle w:val="TextBody"/>
        <w:bidi w:val="0"/>
        <w:spacing w:before="16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Rodman &amp; Renshaw LLC </w:t>
      </w:r>
    </w:p>
    <w:p>
      <w:pPr>
        <w:pStyle w:val="TextBody"/>
        <w:bidi w:val="0"/>
        <w:spacing w:before="40" w:after="283"/>
        <w:jc w:val="center"/>
        <w:rPr>
          <w:rFonts w:ascii="Times New Roman;Times;serif" w:hAnsi="Times New Roman;Times;serif"/>
          <w:color w:val="000000"/>
          <w:sz w:val="17"/>
        </w:rPr>
      </w:pPr>
      <w:r>
        <w:rPr>
          <w:rFonts w:ascii="Times New Roman;Times;serif" w:hAnsi="Times New Roman;Times;serif"/>
          <w:color w:val="000000"/>
          <w:sz w:val="17"/>
        </w:rPr>
        <w:t xml:space="preserve">The date of this prospectus supplement is October 5,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3302x1_424b5_201-toc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Prospectus Supplement</w:t>
      </w:r>
    </w:p>
    <w:p>
      <w:pPr>
        <w:pStyle w:val="Normal"/>
        <w:bidi w:val="0"/>
        <w:spacing w:before="0" w:after="0"/>
        <w:jc w:val="left"/>
        <w:rPr>
          <w:sz w:val="4"/>
          <w:szCs w:val="4"/>
        </w:rPr>
      </w:pPr>
      <w:r>
        <w:rPr>
          <w:sz w:val="4"/>
          <w:szCs w:val="4"/>
        </w:rPr>
      </w:r>
      <w:bookmarkStart w:id="4" w:name="TOC"/>
      <w:bookmarkStart w:id="5" w:name="TOC"/>
      <w:bookmarkEnd w:id="5"/>
    </w:p>
    <w:tbl>
      <w:tblPr>
        <w:tblW w:w="7940" w:type="dxa"/>
        <w:jc w:val="left"/>
        <w:tblInd w:w="0" w:type="dxa"/>
        <w:tblLayout w:type="fixed"/>
        <w:tblCellMar>
          <w:top w:w="0" w:type="dxa"/>
          <w:left w:w="0" w:type="dxa"/>
          <w:bottom w:w="0" w:type="dxa"/>
          <w:right w:w="0" w:type="dxa"/>
        </w:tblCellMar>
      </w:tblPr>
      <w:tblGrid>
        <w:gridCol w:w="7250"/>
        <w:gridCol w:w="140"/>
        <w:gridCol w:w="140"/>
        <w:gridCol w:w="410"/>
      </w:tblGrid>
      <w:tr>
        <w:trPr/>
        <w:tc>
          <w:tcPr>
            <w:tcW w:w="7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r>
      <w:tr>
        <w:trPr/>
        <w:tc>
          <w:tcPr>
            <w:tcW w:w="7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7250" w:type="dxa"/>
            <w:tcBorders/>
            <w:shd w:fill="CCEEFF" w:val="clear"/>
            <w:vAlign w:val="center"/>
          </w:tcPr>
          <w:p>
            <w:pPr>
              <w:pStyle w:val="TableContents"/>
              <w:bidi w:val="0"/>
              <w:spacing w:before="0" w:after="283"/>
              <w:ind w:left="0" w:right="0" w:hanging="0"/>
              <w:jc w:val="left"/>
              <w:rPr/>
            </w:pPr>
            <w:hyperlink w:anchor="sABT">
              <w:r>
                <w:rPr>
                  <w:rStyle w:val="InternetLink"/>
                  <w:rFonts w:ascii="Times New Roman;Times;serif" w:hAnsi="Times New Roman;Times;serif"/>
                  <w:color w:val="000000"/>
                  <w:sz w:val="20"/>
                </w:rPr>
                <w:t>ABOUT THIS PROSPECTUS SUPPLEMENT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sABT">
              <w:r>
                <w:rPr>
                  <w:rStyle w:val="InternetLink"/>
                  <w:rFonts w:ascii="Times New Roman;Times;serif" w:hAnsi="Times New Roman;Times;serif"/>
                  <w:color w:val="000000"/>
                  <w:sz w:val="20"/>
                </w:rPr>
                <w:t>S-1</w:t>
              </w:r>
            </w:hyperlink>
          </w:p>
        </w:tc>
      </w:tr>
      <w:tr>
        <w:trPr/>
        <w:tc>
          <w:tcPr>
            <w:tcW w:w="7250" w:type="dxa"/>
            <w:tcBorders/>
            <w:vAlign w:val="center"/>
          </w:tcPr>
          <w:p>
            <w:pPr>
              <w:pStyle w:val="TableContents"/>
              <w:bidi w:val="0"/>
              <w:spacing w:before="0" w:after="283"/>
              <w:ind w:left="0" w:right="0" w:hanging="0"/>
              <w:jc w:val="left"/>
              <w:rPr/>
            </w:pPr>
            <w:hyperlink w:anchor="sWYC">
              <w:r>
                <w:rPr>
                  <w:rStyle w:val="InternetLink"/>
                  <w:rFonts w:ascii="Times New Roman;Times;serif" w:hAnsi="Times New Roman;Times;serif"/>
                  <w:color w:val="000000"/>
                  <w:sz w:val="20"/>
                </w:rPr>
                <w:t>WHERE YOU CAN FIND MORE INFORMATION; INCORPORATION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sWYC">
              <w:r>
                <w:rPr>
                  <w:rStyle w:val="InternetLink"/>
                  <w:rFonts w:ascii="Times New Roman;Times;serif" w:hAnsi="Times New Roman;Times;serif"/>
                  <w:color w:val="000000"/>
                  <w:sz w:val="20"/>
                </w:rPr>
                <w:t>S-2</w:t>
              </w:r>
            </w:hyperlink>
          </w:p>
        </w:tc>
      </w:tr>
      <w:tr>
        <w:trPr/>
        <w:tc>
          <w:tcPr>
            <w:tcW w:w="7250" w:type="dxa"/>
            <w:tcBorders/>
            <w:shd w:fill="CCEEFF" w:val="clear"/>
            <w:vAlign w:val="center"/>
          </w:tcPr>
          <w:p>
            <w:pPr>
              <w:pStyle w:val="TableContents"/>
              <w:bidi w:val="0"/>
              <w:spacing w:before="0" w:after="283"/>
              <w:ind w:left="0" w:right="0" w:hanging="0"/>
              <w:jc w:val="left"/>
              <w:rPr/>
            </w:pPr>
            <w:hyperlink w:anchor="sSUM">
              <w:r>
                <w:rPr>
                  <w:rStyle w:val="InternetLink"/>
                  <w:rFonts w:ascii="Times New Roman;Times;serif" w:hAnsi="Times New Roman;Times;serif"/>
                  <w:color w:val="000000"/>
                  <w:sz w:val="20"/>
                </w:rPr>
                <w:t>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sSUM">
              <w:r>
                <w:rPr>
                  <w:rStyle w:val="InternetLink"/>
                  <w:rFonts w:ascii="Times New Roman;Times;serif" w:hAnsi="Times New Roman;Times;serif"/>
                  <w:color w:val="000000"/>
                  <w:sz w:val="20"/>
                </w:rPr>
                <w:t>S-4</w:t>
              </w:r>
            </w:hyperlink>
          </w:p>
        </w:tc>
      </w:tr>
      <w:tr>
        <w:trPr/>
        <w:tc>
          <w:tcPr>
            <w:tcW w:w="7250" w:type="dxa"/>
            <w:tcBorders/>
            <w:vAlign w:val="center"/>
          </w:tcPr>
          <w:p>
            <w:pPr>
              <w:pStyle w:val="TableContents"/>
              <w:bidi w:val="0"/>
              <w:spacing w:before="0" w:after="283"/>
              <w:ind w:left="0" w:right="0" w:hanging="0"/>
              <w:jc w:val="left"/>
              <w:rPr/>
            </w:pPr>
            <w:hyperlink w:anchor="sOFF">
              <w:r>
                <w:rPr>
                  <w:rStyle w:val="InternetLink"/>
                  <w:rFonts w:ascii="Times New Roman;Times;serif" w:hAnsi="Times New Roman;Times;serif"/>
                  <w:color w:val="000000"/>
                  <w:sz w:val="20"/>
                </w:rPr>
                <w:t>THE OFFERING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sOFF">
              <w:r>
                <w:rPr>
                  <w:rStyle w:val="InternetLink"/>
                  <w:rFonts w:ascii="Times New Roman;Times;serif" w:hAnsi="Times New Roman;Times;serif"/>
                  <w:color w:val="000000"/>
                  <w:sz w:val="20"/>
                </w:rPr>
                <w:t>S-5</w:t>
              </w:r>
            </w:hyperlink>
          </w:p>
        </w:tc>
      </w:tr>
      <w:tr>
        <w:trPr/>
        <w:tc>
          <w:tcPr>
            <w:tcW w:w="7250" w:type="dxa"/>
            <w:tcBorders/>
            <w:shd w:fill="CCEEFF" w:val="clear"/>
            <w:vAlign w:val="center"/>
          </w:tcPr>
          <w:p>
            <w:pPr>
              <w:pStyle w:val="TableContents"/>
              <w:bidi w:val="0"/>
              <w:spacing w:before="0" w:after="283"/>
              <w:ind w:left="0" w:right="0" w:hanging="0"/>
              <w:jc w:val="left"/>
              <w:rPr/>
            </w:pPr>
            <w:hyperlink w:anchor="s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sRF">
              <w:r>
                <w:rPr>
                  <w:rStyle w:val="InternetLink"/>
                  <w:rFonts w:ascii="Times New Roman;Times;serif" w:hAnsi="Times New Roman;Times;serif"/>
                  <w:color w:val="000000"/>
                  <w:sz w:val="20"/>
                </w:rPr>
                <w:t>S-8</w:t>
              </w:r>
            </w:hyperlink>
          </w:p>
        </w:tc>
      </w:tr>
      <w:tr>
        <w:trPr/>
        <w:tc>
          <w:tcPr>
            <w:tcW w:w="7250" w:type="dxa"/>
            <w:tcBorders/>
            <w:vAlign w:val="center"/>
          </w:tcPr>
          <w:p>
            <w:pPr>
              <w:pStyle w:val="TableContents"/>
              <w:bidi w:val="0"/>
              <w:spacing w:before="0" w:after="283"/>
              <w:ind w:left="0" w:right="0" w:hanging="0"/>
              <w:jc w:val="left"/>
              <w:rPr/>
            </w:pPr>
            <w:hyperlink w:anchor="sFLS">
              <w:r>
                <w:rPr>
                  <w:rStyle w:val="InternetLink"/>
                  <w:rFonts w:ascii="Times New Roman;Times;serif" w:hAnsi="Times New Roman;Times;serif"/>
                  <w:color w:val="000000"/>
                  <w:sz w:val="20"/>
                </w:rPr>
                <w:t>CAUTIONARY NOTE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sFLS">
              <w:r>
                <w:rPr>
                  <w:rStyle w:val="InternetLink"/>
                  <w:rFonts w:ascii="Times New Roman;Times;serif" w:hAnsi="Times New Roman;Times;serif"/>
                  <w:color w:val="000000"/>
                  <w:sz w:val="20"/>
                </w:rPr>
                <w:t>S-10</w:t>
              </w:r>
            </w:hyperlink>
          </w:p>
        </w:tc>
      </w:tr>
      <w:tr>
        <w:trPr/>
        <w:tc>
          <w:tcPr>
            <w:tcW w:w="7250" w:type="dxa"/>
            <w:tcBorders/>
            <w:shd w:fill="CCEEFF" w:val="clear"/>
            <w:vAlign w:val="center"/>
          </w:tcPr>
          <w:p>
            <w:pPr>
              <w:pStyle w:val="TableContents"/>
              <w:bidi w:val="0"/>
              <w:spacing w:before="0" w:after="283"/>
              <w:ind w:left="0" w:right="0" w:hanging="0"/>
              <w:jc w:val="left"/>
              <w:rPr/>
            </w:pPr>
            <w:hyperlink w:anchor="sUSE">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sUSE">
              <w:r>
                <w:rPr>
                  <w:rStyle w:val="InternetLink"/>
                  <w:rFonts w:ascii="Times New Roman;Times;serif" w:hAnsi="Times New Roman;Times;serif"/>
                  <w:color w:val="000000"/>
                  <w:sz w:val="20"/>
                </w:rPr>
                <w:t>S-13</w:t>
              </w:r>
            </w:hyperlink>
          </w:p>
        </w:tc>
      </w:tr>
      <w:tr>
        <w:trPr/>
        <w:tc>
          <w:tcPr>
            <w:tcW w:w="7250" w:type="dxa"/>
            <w:tcBorders/>
            <w:vAlign w:val="center"/>
          </w:tcPr>
          <w:p>
            <w:pPr>
              <w:pStyle w:val="TableContents"/>
              <w:bidi w:val="0"/>
              <w:spacing w:before="0" w:after="283"/>
              <w:ind w:left="0" w:right="0" w:hanging="0"/>
              <w:jc w:val="left"/>
              <w:rPr/>
            </w:pPr>
            <w:hyperlink w:anchor="sDIV">
              <w:r>
                <w:rPr>
                  <w:rStyle w:val="InternetLink"/>
                  <w:rFonts w:ascii="Times New Roman;Times;serif" w:hAnsi="Times New Roman;Times;serif"/>
                  <w:color w:val="000000"/>
                  <w:sz w:val="20"/>
                </w:rPr>
                <w:t>DIVIDEND POLICY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sDIV">
              <w:r>
                <w:rPr>
                  <w:rStyle w:val="InternetLink"/>
                  <w:rFonts w:ascii="Times New Roman;Times;serif" w:hAnsi="Times New Roman;Times;serif"/>
                  <w:color w:val="000000"/>
                  <w:sz w:val="20"/>
                </w:rPr>
                <w:t>S-14</w:t>
              </w:r>
            </w:hyperlink>
          </w:p>
        </w:tc>
      </w:tr>
      <w:tr>
        <w:trPr/>
        <w:tc>
          <w:tcPr>
            <w:tcW w:w="7250" w:type="dxa"/>
            <w:tcBorders/>
            <w:shd w:fill="CCEEFF" w:val="clear"/>
            <w:vAlign w:val="center"/>
          </w:tcPr>
          <w:p>
            <w:pPr>
              <w:pStyle w:val="TableContents"/>
              <w:bidi w:val="0"/>
              <w:spacing w:before="0" w:after="283"/>
              <w:ind w:left="0" w:right="0" w:hanging="0"/>
              <w:jc w:val="left"/>
              <w:rPr/>
            </w:pPr>
            <w:hyperlink w:anchor="sDIL">
              <w:r>
                <w:rPr>
                  <w:rStyle w:val="InternetLink"/>
                  <w:rFonts w:ascii="Times New Roman;Times;serif" w:hAnsi="Times New Roman;Times;serif"/>
                  <w:color w:val="000000"/>
                  <w:sz w:val="20"/>
                </w:rPr>
                <w:t>DILUTION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sDIL">
              <w:r>
                <w:rPr>
                  <w:rStyle w:val="InternetLink"/>
                  <w:rFonts w:ascii="Times New Roman;Times;serif" w:hAnsi="Times New Roman;Times;serif"/>
                  <w:color w:val="000000"/>
                  <w:sz w:val="20"/>
                </w:rPr>
                <w:t>S-15</w:t>
              </w:r>
            </w:hyperlink>
          </w:p>
        </w:tc>
      </w:tr>
      <w:tr>
        <w:trPr/>
        <w:tc>
          <w:tcPr>
            <w:tcW w:w="7250" w:type="dxa"/>
            <w:tcBorders/>
            <w:vAlign w:val="center"/>
          </w:tcPr>
          <w:p>
            <w:pPr>
              <w:pStyle w:val="TableContents"/>
              <w:bidi w:val="0"/>
              <w:spacing w:before="0" w:after="283"/>
              <w:ind w:left="0" w:right="0" w:hanging="0"/>
              <w:jc w:val="left"/>
              <w:rPr/>
            </w:pPr>
            <w:hyperlink w:anchor="sDESC">
              <w:r>
                <w:rPr>
                  <w:rStyle w:val="InternetLink"/>
                  <w:rFonts w:ascii="Times New Roman;Times;serif" w:hAnsi="Times New Roman;Times;serif"/>
                  <w:color w:val="000000"/>
                  <w:sz w:val="20"/>
                </w:rPr>
                <w:t>DESCRIPTION OF THE SECURITIES WE ARE OFFERING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sDESC">
              <w:r>
                <w:rPr>
                  <w:rStyle w:val="InternetLink"/>
                  <w:rFonts w:ascii="Times New Roman;Times;serif" w:hAnsi="Times New Roman;Times;serif"/>
                  <w:color w:val="000000"/>
                  <w:sz w:val="20"/>
                </w:rPr>
                <w:t>S-16</w:t>
              </w:r>
            </w:hyperlink>
          </w:p>
        </w:tc>
      </w:tr>
      <w:tr>
        <w:trPr/>
        <w:tc>
          <w:tcPr>
            <w:tcW w:w="7250" w:type="dxa"/>
            <w:tcBorders/>
            <w:shd w:fill="CCEEFF" w:val="clear"/>
            <w:vAlign w:val="center"/>
          </w:tcPr>
          <w:p>
            <w:pPr>
              <w:pStyle w:val="TableContents"/>
              <w:bidi w:val="0"/>
              <w:spacing w:before="0" w:after="283"/>
              <w:ind w:left="0" w:right="0" w:hanging="0"/>
              <w:jc w:val="left"/>
              <w:rPr/>
            </w:pPr>
            <w:hyperlink w:anchor="s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sPOD">
              <w:r>
                <w:rPr>
                  <w:rStyle w:val="InternetLink"/>
                  <w:rFonts w:ascii="Times New Roman;Times;serif" w:hAnsi="Times New Roman;Times;serif"/>
                  <w:color w:val="000000"/>
                  <w:sz w:val="20"/>
                </w:rPr>
                <w:t>S-19</w:t>
              </w:r>
            </w:hyperlink>
          </w:p>
        </w:tc>
      </w:tr>
      <w:tr>
        <w:trPr/>
        <w:tc>
          <w:tcPr>
            <w:tcW w:w="7250" w:type="dxa"/>
            <w:tcBorders/>
            <w:vAlign w:val="center"/>
          </w:tcPr>
          <w:p>
            <w:pPr>
              <w:pStyle w:val="TableContents"/>
              <w:bidi w:val="0"/>
              <w:spacing w:before="0" w:after="283"/>
              <w:ind w:left="0" w:right="0" w:hanging="0"/>
              <w:jc w:val="left"/>
              <w:rPr/>
            </w:pPr>
            <w:hyperlink w:anchor="sMUS">
              <w:r>
                <w:rPr>
                  <w:rStyle w:val="InternetLink"/>
                  <w:rFonts w:ascii="Times New Roman;Times;serif" w:hAnsi="Times New Roman;Times;serif"/>
                  <w:color w:val="000000"/>
                  <w:sz w:val="20"/>
                </w:rPr>
                <w:t>MATERIAL U.S. FEDERAL INCOME TAX CONSEQUENCES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sMUS">
              <w:r>
                <w:rPr>
                  <w:rStyle w:val="InternetLink"/>
                  <w:rFonts w:ascii="Times New Roman;Times;serif" w:hAnsi="Times New Roman;Times;serif"/>
                  <w:color w:val="000000"/>
                  <w:sz w:val="20"/>
                </w:rPr>
                <w:t>S-21</w:t>
              </w:r>
            </w:hyperlink>
          </w:p>
        </w:tc>
      </w:tr>
      <w:tr>
        <w:trPr/>
        <w:tc>
          <w:tcPr>
            <w:tcW w:w="7250" w:type="dxa"/>
            <w:tcBorders/>
            <w:shd w:fill="CCEEFF" w:val="clear"/>
            <w:vAlign w:val="center"/>
          </w:tcPr>
          <w:p>
            <w:pPr>
              <w:pStyle w:val="TableContents"/>
              <w:bidi w:val="0"/>
              <w:spacing w:before="0" w:after="283"/>
              <w:ind w:left="0" w:right="0" w:hanging="0"/>
              <w:jc w:val="left"/>
              <w:rPr/>
            </w:pPr>
            <w:hyperlink w:anchor="s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sLM">
              <w:r>
                <w:rPr>
                  <w:rStyle w:val="InternetLink"/>
                  <w:rFonts w:ascii="Times New Roman;Times;serif" w:hAnsi="Times New Roman;Times;serif"/>
                  <w:color w:val="000000"/>
                  <w:sz w:val="20"/>
                </w:rPr>
                <w:t>S-28</w:t>
              </w:r>
            </w:hyperlink>
          </w:p>
        </w:tc>
      </w:tr>
      <w:tr>
        <w:trPr/>
        <w:tc>
          <w:tcPr>
            <w:tcW w:w="7250" w:type="dxa"/>
            <w:tcBorders/>
            <w:vAlign w:val="center"/>
          </w:tcPr>
          <w:p>
            <w:pPr>
              <w:pStyle w:val="TableContents"/>
              <w:bidi w:val="0"/>
              <w:spacing w:before="0" w:after="283"/>
              <w:ind w:left="0" w:right="0" w:hanging="0"/>
              <w:jc w:val="left"/>
              <w:rPr/>
            </w:pPr>
            <w:hyperlink w:anchor="s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sEXP">
              <w:r>
                <w:rPr>
                  <w:rStyle w:val="InternetLink"/>
                  <w:rFonts w:ascii="Times New Roman;Times;serif" w:hAnsi="Times New Roman;Times;serif"/>
                  <w:color w:val="000000"/>
                  <w:sz w:val="20"/>
                </w:rPr>
                <w:t>S-29</w:t>
              </w:r>
            </w:hyperlink>
          </w:p>
        </w:tc>
      </w:tr>
      <w:tr>
        <w:trPr/>
        <w:tc>
          <w:tcPr>
            <w:tcW w:w="7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Prospectus</w:t>
      </w:r>
    </w:p>
    <w:tbl>
      <w:tblPr>
        <w:tblW w:w="7865" w:type="dxa"/>
        <w:jc w:val="left"/>
        <w:tblInd w:w="0" w:type="dxa"/>
        <w:tblLayout w:type="fixed"/>
        <w:tblCellMar>
          <w:top w:w="0" w:type="dxa"/>
          <w:left w:w="0" w:type="dxa"/>
          <w:bottom w:w="0" w:type="dxa"/>
          <w:right w:w="0" w:type="dxa"/>
        </w:tblCellMar>
      </w:tblPr>
      <w:tblGrid>
        <w:gridCol w:w="7295"/>
        <w:gridCol w:w="140"/>
        <w:gridCol w:w="140"/>
        <w:gridCol w:w="290"/>
      </w:tblGrid>
      <w:tr>
        <w:trPr/>
        <w:tc>
          <w:tcPr>
            <w:tcW w:w="72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0"/>
              <w:jc w:val="left"/>
              <w:rPr/>
            </w:pPr>
            <w:r>
              <w:rPr/>
              <w:t> </w:t>
            </w:r>
          </w:p>
        </w:tc>
      </w:tr>
      <w:tr>
        <w:trPr/>
        <w:tc>
          <w:tcPr>
            <w:tcW w:w="7295" w:type="dxa"/>
            <w:tcBorders/>
            <w:shd w:fill="CCEEFF" w:val="clear"/>
            <w:vAlign w:val="center"/>
          </w:tcPr>
          <w:p>
            <w:pPr>
              <w:pStyle w:val="TableContents"/>
              <w:bidi w:val="0"/>
              <w:spacing w:before="0" w:after="283"/>
              <w:ind w:left="0" w:right="0" w:hanging="0"/>
              <w:jc w:val="left"/>
              <w:rPr/>
            </w:pPr>
            <w:hyperlink w:anchor="tABT">
              <w:r>
                <w:rPr>
                  <w:rStyle w:val="InternetLink"/>
                  <w:rFonts w:ascii="Times New Roman;Times;serif" w:hAnsi="Times New Roman;Times;serif"/>
                  <w:color w:val="000000"/>
                  <w:sz w:val="20"/>
                </w:rPr>
                <w:t xml:space="preserve">ABOUT THIS PROSPECTUS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ABT">
              <w:r>
                <w:rPr>
                  <w:rStyle w:val="InternetLink"/>
                  <w:rFonts w:ascii="Times New Roman;Times;serif" w:hAnsi="Times New Roman;Times;serif"/>
                  <w:color w:val="000000"/>
                  <w:sz w:val="20"/>
                </w:rPr>
                <w:t>1</w:t>
              </w:r>
            </w:hyperlink>
            <w:hyperlink w:anchor="tABT">
              <w:r>
                <w:rPr>
                  <w:rStyle w:val="InternetLink"/>
                  <w:rFonts w:ascii="Times New Roman;Times;serif" w:hAnsi="Times New Roman;Times;serif"/>
                  <w:color w:val="000000"/>
                  <w:sz w:val="20"/>
                </w:rPr>
                <w:t xml:space="preserve"> </w:t>
              </w:r>
            </w:hyperlink>
          </w:p>
        </w:tc>
      </w:tr>
      <w:tr>
        <w:trPr/>
        <w:tc>
          <w:tcPr>
            <w:tcW w:w="7295" w:type="dxa"/>
            <w:tcBorders/>
            <w:vAlign w:val="center"/>
          </w:tcPr>
          <w:p>
            <w:pPr>
              <w:pStyle w:val="TableContents"/>
              <w:bidi w:val="0"/>
              <w:spacing w:before="0" w:after="283"/>
              <w:ind w:left="0" w:right="0" w:hanging="0"/>
              <w:jc w:val="left"/>
              <w:rPr/>
            </w:pPr>
            <w:hyperlink w:anchor="tTRD">
              <w:r>
                <w:rPr>
                  <w:rStyle w:val="InternetLink"/>
                  <w:rFonts w:ascii="Times New Roman;Times;serif" w:hAnsi="Times New Roman;Times;serif"/>
                  <w:color w:val="000000"/>
                  <w:sz w:val="20"/>
                </w:rPr>
                <w:t xml:space="preserve">TRADEMARKS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TRD">
              <w:r>
                <w:rPr>
                  <w:rStyle w:val="InternetLink"/>
                  <w:rFonts w:ascii="Times New Roman;Times;serif" w:hAnsi="Times New Roman;Times;serif"/>
                  <w:color w:val="000000"/>
                  <w:sz w:val="20"/>
                </w:rPr>
                <w:t>2</w:t>
              </w:r>
            </w:hyperlink>
            <w:hyperlink w:anchor="tTRD">
              <w:r>
                <w:rPr>
                  <w:rStyle w:val="InternetLink"/>
                  <w:rFonts w:ascii="Times New Roman;Times;serif" w:hAnsi="Times New Roman;Times;serif"/>
                  <w:color w:val="000000"/>
                  <w:sz w:val="20"/>
                </w:rPr>
                <w:t xml:space="preserve"> </w:t>
              </w:r>
            </w:hyperlink>
          </w:p>
        </w:tc>
      </w:tr>
      <w:tr>
        <w:trPr/>
        <w:tc>
          <w:tcPr>
            <w:tcW w:w="729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 xml:space="preserve">SPECIAL CAUTIONARY NOTE REGARDING FORWARD-LOOKING STATEMENTS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3</w:t>
              </w:r>
            </w:hyperlink>
            <w:hyperlink w:anchor="tFLS">
              <w:r>
                <w:rPr>
                  <w:rStyle w:val="InternetLink"/>
                  <w:rFonts w:ascii="Times New Roman;Times;serif" w:hAnsi="Times New Roman;Times;serif"/>
                  <w:color w:val="000000"/>
                  <w:sz w:val="20"/>
                </w:rPr>
                <w:t xml:space="preserve"> </w:t>
              </w:r>
            </w:hyperlink>
          </w:p>
        </w:tc>
      </w:tr>
      <w:tr>
        <w:trPr/>
        <w:tc>
          <w:tcPr>
            <w:tcW w:w="729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 xml:space="preserve">WHERE YOU CAN FIND MORE INFORMATION; INCORPORATION BY REFERENCE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5</w:t>
              </w:r>
            </w:hyperlink>
            <w:hyperlink w:anchor="tWYC">
              <w:r>
                <w:rPr>
                  <w:rStyle w:val="InternetLink"/>
                  <w:rFonts w:ascii="Times New Roman;Times;serif" w:hAnsi="Times New Roman;Times;serif"/>
                  <w:color w:val="000000"/>
                  <w:sz w:val="20"/>
                </w:rPr>
                <w:t xml:space="preserve"> </w:t>
              </w:r>
            </w:hyperlink>
          </w:p>
        </w:tc>
      </w:tr>
      <w:tr>
        <w:trPr/>
        <w:tc>
          <w:tcPr>
            <w:tcW w:w="7295" w:type="dxa"/>
            <w:tcBorders/>
            <w:shd w:fill="CCEEFF" w:val="clear"/>
            <w:vAlign w:val="center"/>
          </w:tcPr>
          <w:p>
            <w:pPr>
              <w:pStyle w:val="TableContents"/>
              <w:bidi w:val="0"/>
              <w:spacing w:before="0" w:after="283"/>
              <w:ind w:left="0" w:right="0" w:hanging="0"/>
              <w:jc w:val="left"/>
              <w:rPr/>
            </w:pPr>
            <w:hyperlink w:anchor="tCOM">
              <w:r>
                <w:rPr>
                  <w:rStyle w:val="InternetLink"/>
                  <w:rFonts w:ascii="Times New Roman;Times;serif" w:hAnsi="Times New Roman;Times;serif"/>
                  <w:color w:val="000000"/>
                  <w:sz w:val="20"/>
                </w:rPr>
                <w:t xml:space="preserve">THE COMPANY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COM">
              <w:r>
                <w:rPr>
                  <w:rStyle w:val="InternetLink"/>
                  <w:rFonts w:ascii="Times New Roman;Times;serif" w:hAnsi="Times New Roman;Times;serif"/>
                  <w:color w:val="000000"/>
                  <w:sz w:val="20"/>
                </w:rPr>
                <w:t>7</w:t>
              </w:r>
            </w:hyperlink>
            <w:hyperlink w:anchor="tCOM">
              <w:r>
                <w:rPr>
                  <w:rStyle w:val="InternetLink"/>
                  <w:rFonts w:ascii="Times New Roman;Times;serif" w:hAnsi="Times New Roman;Times;serif"/>
                  <w:color w:val="000000"/>
                  <w:sz w:val="20"/>
                </w:rPr>
                <w:t xml:space="preserve"> </w:t>
              </w:r>
            </w:hyperlink>
          </w:p>
        </w:tc>
      </w:tr>
      <w:tr>
        <w:trPr/>
        <w:tc>
          <w:tcPr>
            <w:tcW w:w="729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 xml:space="preserve">RISK FACTORS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8</w:t>
              </w:r>
            </w:hyperlink>
            <w:hyperlink w:anchor="tRF">
              <w:r>
                <w:rPr>
                  <w:rStyle w:val="InternetLink"/>
                  <w:rFonts w:ascii="Times New Roman;Times;serif" w:hAnsi="Times New Roman;Times;serif"/>
                  <w:color w:val="000000"/>
                  <w:sz w:val="20"/>
                </w:rPr>
                <w:t xml:space="preserve"> </w:t>
              </w:r>
            </w:hyperlink>
          </w:p>
        </w:tc>
      </w:tr>
      <w:tr>
        <w:trPr/>
        <w:tc>
          <w:tcPr>
            <w:tcW w:w="7295"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 xml:space="preserve">USE OF PROCEEDS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9</w:t>
              </w:r>
            </w:hyperlink>
            <w:hyperlink w:anchor="tUOP">
              <w:r>
                <w:rPr>
                  <w:rStyle w:val="InternetLink"/>
                  <w:rFonts w:ascii="Times New Roman;Times;serif" w:hAnsi="Times New Roman;Times;serif"/>
                  <w:color w:val="000000"/>
                  <w:sz w:val="20"/>
                </w:rPr>
                <w:t xml:space="preserve"> </w:t>
              </w:r>
            </w:hyperlink>
          </w:p>
        </w:tc>
      </w:tr>
      <w:tr>
        <w:trPr/>
        <w:tc>
          <w:tcPr>
            <w:tcW w:w="7295"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 xml:space="preserve">DESCRIPTION OF CAPITAL STOCK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 xml:space="preserve">10 </w:t>
              </w:r>
            </w:hyperlink>
          </w:p>
        </w:tc>
      </w:tr>
      <w:tr>
        <w:trPr/>
        <w:tc>
          <w:tcPr>
            <w:tcW w:w="7295" w:type="dxa"/>
            <w:tcBorders/>
            <w:shd w:fill="CCEEFF" w:val="clear"/>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 xml:space="preserve">DESCRIPTION OF DEBT SECURITIES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 xml:space="preserve">13 </w:t>
              </w:r>
            </w:hyperlink>
          </w:p>
        </w:tc>
      </w:tr>
      <w:tr>
        <w:trPr/>
        <w:tc>
          <w:tcPr>
            <w:tcW w:w="7295" w:type="dxa"/>
            <w:tcBorders/>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 xml:space="preserve">DESCRIPTION OF WARRANTS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 xml:space="preserve">20 </w:t>
              </w:r>
            </w:hyperlink>
          </w:p>
        </w:tc>
      </w:tr>
      <w:tr>
        <w:trPr/>
        <w:tc>
          <w:tcPr>
            <w:tcW w:w="7295" w:type="dxa"/>
            <w:tcBorders/>
            <w:shd w:fill="CCEEFF" w:val="clear"/>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 xml:space="preserve">DESCRIPTION OF PURCHASE CONTRACTS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 xml:space="preserve">21 </w:t>
              </w:r>
            </w:hyperlink>
          </w:p>
        </w:tc>
      </w:tr>
      <w:tr>
        <w:trPr/>
        <w:tc>
          <w:tcPr>
            <w:tcW w:w="7295" w:type="dxa"/>
            <w:tcBorders/>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 xml:space="preserve">DESCRIPTION OF UNITS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 xml:space="preserve">22 </w:t>
              </w:r>
            </w:hyperlink>
          </w:p>
        </w:tc>
      </w:tr>
      <w:tr>
        <w:trPr/>
        <w:tc>
          <w:tcPr>
            <w:tcW w:w="7295" w:type="dxa"/>
            <w:tcBorders/>
            <w:shd w:fill="CCEEFF" w:val="clear"/>
            <w:vAlign w:val="center"/>
          </w:tcPr>
          <w:p>
            <w:pPr>
              <w:pStyle w:val="TableContents"/>
              <w:bidi w:val="0"/>
              <w:spacing w:before="0" w:after="283"/>
              <w:ind w:left="0" w:right="0" w:hanging="0"/>
              <w:jc w:val="left"/>
              <w:rPr/>
            </w:pPr>
            <w:hyperlink w:anchor="tGLO">
              <w:r>
                <w:rPr>
                  <w:rStyle w:val="InternetLink"/>
                  <w:rFonts w:ascii="Times New Roman;Times;serif" w:hAnsi="Times New Roman;Times;serif"/>
                  <w:color w:val="000000"/>
                  <w:sz w:val="20"/>
                </w:rPr>
                <w:t xml:space="preserve">GLOBAL SECURITIES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GLO">
              <w:r>
                <w:rPr>
                  <w:rStyle w:val="InternetLink"/>
                  <w:rFonts w:ascii="Times New Roman;Times;serif" w:hAnsi="Times New Roman;Times;serif"/>
                  <w:color w:val="000000"/>
                  <w:sz w:val="20"/>
                </w:rPr>
                <w:t xml:space="preserve">23 </w:t>
              </w:r>
            </w:hyperlink>
          </w:p>
        </w:tc>
      </w:tr>
      <w:tr>
        <w:trPr/>
        <w:tc>
          <w:tcPr>
            <w:tcW w:w="7295"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 xml:space="preserve">PLAN OF DISTRIBUTION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 xml:space="preserve">26 </w:t>
              </w:r>
            </w:hyperlink>
          </w:p>
        </w:tc>
      </w:tr>
      <w:tr>
        <w:trPr/>
        <w:tc>
          <w:tcPr>
            <w:tcW w:w="729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 xml:space="preserve">LEGAL MATTERS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 xml:space="preserve">28 </w:t>
              </w:r>
            </w:hyperlink>
          </w:p>
        </w:tc>
      </w:tr>
      <w:tr>
        <w:trPr/>
        <w:tc>
          <w:tcPr>
            <w:tcW w:w="729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 xml:space="preserve">EXPERTS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28</w:t>
              </w:r>
            </w:hyperlink>
          </w:p>
        </w:tc>
      </w:tr>
      <w:tr>
        <w:trPr/>
        <w:tc>
          <w:tcPr>
            <w:tcW w:w="7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83302x1_424b5_202-abou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 w:name="sABT"/>
      <w:bookmarkEnd w:id="7"/>
      <w:r>
        <w:rPr>
          <w:rFonts w:ascii="Times New Roman;Times;serif" w:hAnsi="Times New Roman;Times;serif"/>
          <w:b/>
          <w:color w:val="000000"/>
          <w:sz w:val="20"/>
        </w:rPr>
        <w:t xml:space="preserve">ABOUT THIS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is part of a registration statement that we have filed with the SEC utilizing a “shelf” registration process, and relates to the offering of our common stock, pre-funded warrants to purchase our common stock and accompanying warrants to purchase our common stock. Before buying any of the securities that we are offering, we urge you to carefully read this prospectus supplement, the accompanying base prospectus and all of the information incorporated by reference herein and therein, as well as the additional information described under the heading “Where You Can Find More Information; Incorporation by Reference” in this prospectus supplement. These documents contain important information that you should consider when making your investment decision.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provide information to you about this offering of our common stock, pre-funded warrants and the accompanying warrants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or incorporated by reference in this prospectus supplement, the accompanying base prospectus and any free writing prospectus that we may authorize for use in connection with this offering. Neither we nor the placement agent has authorized anyone to provide you with different information. If anyone provides you with different or inconsistent information, you should not rely on it. We are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we refer to “NXH,” “Neighborhood Intelligence,” “we,” “our,” “us” or the “Company” in this prospectus supplement, we mean Neighborhood Intelligence, Inc., unless otherwise specified.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proprietary rights to a number of trademarks used in this prospectus supplement that are important to our business, including Bed Bath &amp; Beyond, Beyond, and Neighborhood Intelligence. Solely for convenience, the trademarks and trade names in this prospectus supplement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prospectus supplement are the property of their respective owners.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83302x1_424b5_203-info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 w:name="sWYC"/>
      <w:bookmarkEnd w:id="9"/>
      <w:r>
        <w:rPr>
          <w:rFonts w:ascii="Times New Roman;Times;serif" w:hAnsi="Times New Roman;Times;serif"/>
          <w:b/>
          <w:color w:val="000000"/>
          <w:sz w:val="20"/>
        </w:rPr>
        <w:t xml:space="preserve">WHERE YOU CAN FIND MORE INFORMATION; INCORPORATION BY REFERENCE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Available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the information and periodic reporting requirements of the Securities Exchange Act of 1934, as amended, or the Exchange Act, and, in accordance therewith,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Copies of certain information filed by us with the SEC are also available on our web site. Our web site address is </w:t>
      </w:r>
      <w:r>
        <w:rPr>
          <w:rFonts w:ascii="Times New Roman;Times;serif" w:hAnsi="Times New Roman;Times;serif"/>
          <w:i/>
          <w:color w:val="000000"/>
          <w:sz w:val="20"/>
        </w:rPr>
        <w:t>www.neighborhoodintelligence.com/</w:t>
      </w:r>
      <w:r>
        <w:rPr>
          <w:rFonts w:ascii="Times New Roman;Times;serif" w:hAnsi="Times New Roman;Times;serif"/>
          <w:color w:val="000000"/>
          <w:sz w:val="20"/>
        </w:rPr>
        <w:t xml:space="preserve">. The information on our website is not a part of, and should not be construed as being incorporated by reference into, this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and the accompanying base prospectus are part of a registration statement that we filed with the SEC and do not contain all of the information included in the registration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full registration statement may be obtained from the SEC or us, as provided below. You should review the information and exhibits in the registration statement for further information about us and the securities we are offering. Statements in this prospectus supplement or the accompanying base prospectus about any document we filed as an exhibit to the registration statement or that we have otherwise filed with the SEC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SEC’s rules allow us to “incorporate by reference” information in this prospectus supplement, which means that we can disclose important information to you by referring you to another document filed separately with the SEC. The information incorporated by reference herein is deemed to be part of this prospectus supplement and the accompanying base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incorporate by reference our documents listed below and any future filings made by us with the SEC under Sections 13(a), 13(c), 14 or 15(d) of the Exchange Act between the date of this prospectus supplement and the termination or completion of the offering of the securities described in this prospectus supplement.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incorporates by reference the documents set forth below that have previously been filed with the SEC (other than any information therein furnished to, rather than filed with, the SEC):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10-K for the fiscal year ended December 31, 2025 filed with the SEC on </w:t>
            </w:r>
            <w:hyperlink r:id="rId3">
              <w:r>
                <w:rPr>
                  <w:rStyle w:val="InternetLink"/>
                  <w:rFonts w:ascii="Times New Roman;Times;serif" w:hAnsi="Times New Roman;Times;serif"/>
                  <w:color w:val="000080"/>
                  <w:sz w:val="20"/>
                </w:rPr>
                <w:t>February 24, 2026</w:t>
              </w:r>
            </w:hyperlink>
            <w:r>
              <w:rPr>
                <w:rFonts w:ascii="Times New Roman;Times;serif" w:hAnsi="Times New Roman;Times;serif"/>
                <w:color w:val="000000"/>
                <w:sz w:val="20"/>
              </w:rPr>
              <w:t xml:space="preserve">, and those portions of our Definitive Proxy Statement on Schedule 14A filed on </w:t>
            </w:r>
            <w:hyperlink r:id="rId4">
              <w:r>
                <w:rPr>
                  <w:rStyle w:val="InternetLink"/>
                  <w:rFonts w:ascii="Times New Roman;Times;serif" w:hAnsi="Times New Roman;Times;serif"/>
                  <w:color w:val="000080"/>
                  <w:sz w:val="20"/>
                </w:rPr>
                <w:t>March 27, 2026</w:t>
              </w:r>
            </w:hyperlink>
            <w:r>
              <w:rPr>
                <w:rFonts w:ascii="Times New Roman;Times;serif" w:hAnsi="Times New Roman;Times;serif"/>
                <w:color w:val="000000"/>
                <w:sz w:val="20"/>
              </w:rPr>
              <w:t xml:space="preserve"> that are deemed “filed”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Quarterly Reports on Form 10-Q for the quarters ended March 31, 2026 and June 30, 2026 filed with the SEC on </w:t>
            </w:r>
            <w:hyperlink r:id="rId5">
              <w:r>
                <w:rPr>
                  <w:rStyle w:val="InternetLink"/>
                  <w:rFonts w:ascii="Times New Roman;Times;serif" w:hAnsi="Times New Roman;Times;serif"/>
                  <w:color w:val="000080"/>
                  <w:sz w:val="20"/>
                </w:rPr>
                <w:t>April 27, 2026</w:t>
              </w:r>
            </w:hyperlink>
            <w:r>
              <w:rPr>
                <w:rFonts w:ascii="Times New Roman;Times;serif" w:hAnsi="Times New Roman;Times;serif"/>
                <w:color w:val="000000"/>
                <w:sz w:val="20"/>
              </w:rPr>
              <w:t xml:space="preserve"> and </w:t>
            </w:r>
            <w:hyperlink r:id="rId6">
              <w:r>
                <w:rPr>
                  <w:rStyle w:val="InternetLink"/>
                  <w:rFonts w:ascii="Times New Roman;Times;serif" w:hAnsi="Times New Roman;Times;serif"/>
                  <w:color w:val="000080"/>
                  <w:sz w:val="20"/>
                </w:rPr>
                <w:t>August 4, 2026</w:t>
              </w:r>
            </w:hyperlink>
            <w:r>
              <w:rPr>
                <w:rFonts w:ascii="Times New Roman;Times;serif" w:hAnsi="Times New Roman;Times;serif"/>
                <w:color w:val="000000"/>
                <w:sz w:val="20"/>
              </w:rPr>
              <w:t xml:space="preserve">, respectively.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Current Reports on Form 8-K and Form 8-K/A (as applicable) filed with the SEC on </w:t>
            </w:r>
            <w:hyperlink r:id="rId7">
              <w:r>
                <w:rPr>
                  <w:rStyle w:val="InternetLink"/>
                  <w:rFonts w:ascii="Times New Roman;Times;serif" w:hAnsi="Times New Roman;Times;serif"/>
                  <w:color w:val="000080"/>
                  <w:sz w:val="20"/>
                </w:rPr>
                <w:t>January 5, 2026</w:t>
              </w:r>
            </w:hyperlink>
            <w:r>
              <w:rPr>
                <w:rFonts w:ascii="Times New Roman;Times;serif" w:hAnsi="Times New Roman;Times;serif"/>
                <w:color w:val="000000"/>
                <w:sz w:val="20"/>
              </w:rPr>
              <w:t xml:space="preserve">, </w:t>
            </w:r>
            <w:hyperlink r:id="rId8">
              <w:r>
                <w:rPr>
                  <w:rStyle w:val="InternetLink"/>
                  <w:rFonts w:ascii="Times New Roman;Times;serif" w:hAnsi="Times New Roman;Times;serif"/>
                  <w:color w:val="000080"/>
                  <w:sz w:val="20"/>
                </w:rPr>
                <w:t>January 9, 2026</w:t>
              </w:r>
            </w:hyperlink>
            <w:r>
              <w:rPr>
                <w:rFonts w:ascii="Times New Roman;Times;serif" w:hAnsi="Times New Roman;Times;serif"/>
                <w:color w:val="000000"/>
                <w:sz w:val="20"/>
              </w:rPr>
              <w:t xml:space="preserve">, </w:t>
            </w:r>
            <w:hyperlink r:id="rId9">
              <w:r>
                <w:rPr>
                  <w:rStyle w:val="InternetLink"/>
                  <w:rFonts w:ascii="Times New Roman;Times;serif" w:hAnsi="Times New Roman;Times;serif"/>
                  <w:color w:val="000080"/>
                  <w:sz w:val="20"/>
                </w:rPr>
                <w:t>January 23, 2026</w:t>
              </w:r>
            </w:hyperlink>
            <w:r>
              <w:rPr>
                <w:rFonts w:ascii="Times New Roman;Times;serif" w:hAnsi="Times New Roman;Times;serif"/>
                <w:color w:val="000000"/>
                <w:sz w:val="20"/>
              </w:rPr>
              <w:t xml:space="preserve">, April 2, 2026 (including the </w:t>
            </w:r>
            <w:hyperlink r:id="rId10">
              <w:r>
                <w:rPr>
                  <w:rStyle w:val="InternetLink"/>
                  <w:rFonts w:ascii="Times New Roman;Times;serif" w:hAnsi="Times New Roman;Times;serif"/>
                  <w:color w:val="000080"/>
                  <w:sz w:val="20"/>
                </w:rPr>
                <w:t>first</w:t>
              </w:r>
            </w:hyperlink>
            <w:r>
              <w:rPr>
                <w:rFonts w:ascii="Times New Roman;Times;serif" w:hAnsi="Times New Roman;Times;serif"/>
                <w:color w:val="000000"/>
                <w:sz w:val="20"/>
              </w:rPr>
              <w:t xml:space="preserve"> and </w:t>
            </w:r>
            <w:hyperlink r:id="rId11">
              <w:r>
                <w:rPr>
                  <w:rStyle w:val="InternetLink"/>
                  <w:rFonts w:ascii="Times New Roman;Times;serif" w:hAnsi="Times New Roman;Times;serif"/>
                  <w:color w:val="000080"/>
                  <w:sz w:val="20"/>
                </w:rPr>
                <w:t>second</w:t>
              </w:r>
            </w:hyperlink>
            <w:r>
              <w:rPr>
                <w:rFonts w:ascii="Times New Roman;Times;serif" w:hAnsi="Times New Roman;Times;serif"/>
                <w:color w:val="000000"/>
                <w:sz w:val="20"/>
              </w:rPr>
              <w:t xml:space="preserve"> reports filed on such date), </w:t>
            </w:r>
            <w:hyperlink r:id="rId12">
              <w:r>
                <w:rPr>
                  <w:rStyle w:val="InternetLink"/>
                  <w:rFonts w:ascii="Times New Roman;Times;serif" w:hAnsi="Times New Roman;Times;serif"/>
                  <w:color w:val="000080"/>
                  <w:sz w:val="20"/>
                </w:rPr>
                <w:t>May 8, 2026</w:t>
              </w:r>
            </w:hyperlink>
            <w:r>
              <w:rPr>
                <w:rFonts w:ascii="Times New Roman;Times;serif" w:hAnsi="Times New Roman;Times;serif"/>
                <w:color w:val="000000"/>
                <w:sz w:val="20"/>
              </w:rPr>
              <w:t xml:space="preserve">, </w:t>
            </w:r>
            <w:hyperlink r:id="rId13">
              <w:r>
                <w:rPr>
                  <w:rStyle w:val="InternetLink"/>
                  <w:rFonts w:ascii="Times New Roman;Times;serif" w:hAnsi="Times New Roman;Times;serif"/>
                  <w:color w:val="000080"/>
                  <w:sz w:val="20"/>
                </w:rPr>
                <w:t>May 19, 2026</w:t>
              </w:r>
            </w:hyperlink>
            <w:r>
              <w:rPr>
                <w:rFonts w:ascii="Times New Roman;Times;serif" w:hAnsi="Times New Roman;Times;serif"/>
                <w:color w:val="000000"/>
                <w:sz w:val="20"/>
              </w:rPr>
              <w:t xml:space="preserve">, </w:t>
            </w:r>
            <w:hyperlink r:id="rId14">
              <w:r>
                <w:rPr>
                  <w:rStyle w:val="InternetLink"/>
                  <w:rFonts w:ascii="Times New Roman;Times;serif" w:hAnsi="Times New Roman;Times;serif"/>
                  <w:color w:val="000080"/>
                  <w:sz w:val="20"/>
                </w:rPr>
                <w:t>May 20, 2026</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June 17, 2026</w:t>
              </w:r>
            </w:hyperlink>
            <w:r>
              <w:rPr>
                <w:rFonts w:ascii="Times New Roman;Times;serif" w:hAnsi="Times New Roman;Times;serif"/>
                <w:color w:val="000000"/>
                <w:sz w:val="20"/>
              </w:rPr>
              <w:t xml:space="preserve">, </w:t>
            </w:r>
            <w:hyperlink r:id="rId16">
              <w:r>
                <w:rPr>
                  <w:rStyle w:val="InternetLink"/>
                  <w:rFonts w:ascii="Times New Roman;Times;serif" w:hAnsi="Times New Roman;Times;serif"/>
                  <w:color w:val="000080"/>
                  <w:sz w:val="20"/>
                </w:rPr>
                <w:t>July 1, 2026</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July 9, 2026</w:t>
              </w:r>
            </w:hyperlink>
            <w:r>
              <w:rPr>
                <w:rFonts w:ascii="Times New Roman;Times;serif" w:hAnsi="Times New Roman;Times;serif"/>
                <w:color w:val="000000"/>
                <w:sz w:val="20"/>
              </w:rPr>
              <w:t xml:space="preserve">, July 27, 2026 (including the </w:t>
            </w:r>
            <w:hyperlink r:id="rId18">
              <w:r>
                <w:rPr>
                  <w:rStyle w:val="InternetLink"/>
                  <w:rFonts w:ascii="Times New Roman;Times;serif" w:hAnsi="Times New Roman;Times;serif"/>
                  <w:color w:val="000080"/>
                  <w:sz w:val="20"/>
                </w:rPr>
                <w:t>first</w:t>
              </w:r>
            </w:hyperlink>
            <w:r>
              <w:rPr>
                <w:rFonts w:ascii="Times New Roman;Times;serif" w:hAnsi="Times New Roman;Times;serif"/>
                <w:color w:val="000000"/>
                <w:sz w:val="20"/>
              </w:rPr>
              <w:t xml:space="preserve"> and </w:t>
            </w:r>
            <w:hyperlink r:id="rId19">
              <w:r>
                <w:rPr>
                  <w:rStyle w:val="InternetLink"/>
                  <w:rFonts w:ascii="Times New Roman;Times;serif" w:hAnsi="Times New Roman;Times;serif"/>
                  <w:color w:val="000080"/>
                  <w:sz w:val="20"/>
                </w:rPr>
                <w:t>second</w:t>
              </w:r>
            </w:hyperlink>
            <w:r>
              <w:rPr>
                <w:rFonts w:ascii="Times New Roman;Times;serif" w:hAnsi="Times New Roman;Times;serif"/>
                <w:color w:val="000000"/>
                <w:sz w:val="20"/>
              </w:rPr>
              <w:t xml:space="preserve"> reports filed on such date), </w:t>
            </w:r>
            <w:hyperlink r:id="rId20">
              <w:r>
                <w:rPr>
                  <w:rStyle w:val="InternetLink"/>
                  <w:rFonts w:ascii="Times New Roman;Times;serif" w:hAnsi="Times New Roman;Times;serif"/>
                  <w:color w:val="000080"/>
                  <w:sz w:val="20"/>
                </w:rPr>
                <w:t>August 4, 2026</w:t>
              </w:r>
            </w:hyperlink>
            <w:r>
              <w:rPr>
                <w:rFonts w:ascii="Times New Roman;Times;serif" w:hAnsi="Times New Roman;Times;serif"/>
                <w:color w:val="000000"/>
                <w:sz w:val="20"/>
              </w:rPr>
              <w:t xml:space="preserve">, August 5, 2026 (including the </w:t>
            </w:r>
            <w:hyperlink r:id="rId21">
              <w:r>
                <w:rPr>
                  <w:rStyle w:val="InternetLink"/>
                  <w:rFonts w:ascii="Times New Roman;Times;serif" w:hAnsi="Times New Roman;Times;serif"/>
                  <w:color w:val="000080"/>
                  <w:sz w:val="20"/>
                </w:rPr>
                <w:t>first</w:t>
              </w:r>
            </w:hyperlink>
            <w:r>
              <w:rPr>
                <w:rFonts w:ascii="Times New Roman;Times;serif" w:hAnsi="Times New Roman;Times;serif"/>
                <w:color w:val="000000"/>
                <w:sz w:val="20"/>
              </w:rPr>
              <w:t xml:space="preserve">, </w:t>
            </w:r>
            <w:hyperlink r:id="rId22">
              <w:r>
                <w:rPr>
                  <w:rStyle w:val="InternetLink"/>
                  <w:rFonts w:ascii="Times New Roman;Times;serif" w:hAnsi="Times New Roman;Times;serif"/>
                  <w:color w:val="000080"/>
                  <w:sz w:val="20"/>
                </w:rPr>
                <w:t>second</w:t>
              </w:r>
            </w:hyperlink>
            <w:r>
              <w:rPr>
                <w:rFonts w:ascii="Times New Roman;Times;serif" w:hAnsi="Times New Roman;Times;serif"/>
                <w:color w:val="000000"/>
                <w:sz w:val="20"/>
              </w:rPr>
              <w:t xml:space="preserve"> and </w:t>
            </w:r>
            <w:hyperlink r:id="rId23">
              <w:r>
                <w:rPr>
                  <w:rStyle w:val="InternetLink"/>
                  <w:rFonts w:ascii="Times New Roman;Times;serif" w:hAnsi="Times New Roman;Times;serif"/>
                  <w:color w:val="000080"/>
                  <w:sz w:val="20"/>
                </w:rPr>
                <w:t>third</w:t>
              </w:r>
            </w:hyperlink>
            <w:r>
              <w:rPr>
                <w:rFonts w:ascii="Times New Roman;Times;serif" w:hAnsi="Times New Roman;Times;serif"/>
                <w:color w:val="000000"/>
                <w:sz w:val="20"/>
              </w:rPr>
              <w:t xml:space="preserve"> reports filed on such date), </w:t>
            </w:r>
            <w:hyperlink r:id="rId24">
              <w:r>
                <w:rPr>
                  <w:rStyle w:val="InternetLink"/>
                  <w:rFonts w:ascii="Times New Roman;Times;serif" w:hAnsi="Times New Roman;Times;serif"/>
                  <w:color w:val="000080"/>
                  <w:sz w:val="20"/>
                </w:rPr>
                <w:t>August 13, 2026</w:t>
              </w:r>
            </w:hyperlink>
            <w:r>
              <w:rPr>
                <w:rFonts w:ascii="Times New Roman;Times;serif" w:hAnsi="Times New Roman;Times;serif"/>
                <w:color w:val="000000"/>
                <w:sz w:val="20"/>
              </w:rPr>
              <w:t xml:space="preserve">, </w:t>
            </w:r>
            <w:hyperlink r:id="rId25">
              <w:r>
                <w:rPr>
                  <w:rStyle w:val="InternetLink"/>
                  <w:rFonts w:ascii="Times New Roman;Times;serif" w:hAnsi="Times New Roman;Times;serif"/>
                  <w:color w:val="000080"/>
                  <w:sz w:val="20"/>
                </w:rPr>
                <w:t>August 14, 2026</w:t>
              </w:r>
            </w:hyperlink>
            <w:r>
              <w:rPr>
                <w:rFonts w:ascii="Times New Roman;Times;serif" w:hAnsi="Times New Roman;Times;serif"/>
                <w:color w:val="000000"/>
                <w:sz w:val="20"/>
              </w:rPr>
              <w:t xml:space="preserve">, </w:t>
            </w:r>
            <w:hyperlink r:id="rId26">
              <w:r>
                <w:rPr>
                  <w:rStyle w:val="InternetLink"/>
                  <w:rFonts w:ascii="Times New Roman;Times;serif" w:hAnsi="Times New Roman;Times;serif"/>
                  <w:color w:val="000080"/>
                  <w:sz w:val="20"/>
                </w:rPr>
                <w:t>September 8, 2026</w:t>
              </w:r>
            </w:hyperlink>
            <w:r>
              <w:rPr>
                <w:rFonts w:ascii="Times New Roman;Times;serif" w:hAnsi="Times New Roman;Times;serif"/>
                <w:color w:val="000000"/>
                <w:sz w:val="20"/>
              </w:rPr>
              <w:t xml:space="preserve">, </w:t>
            </w:r>
            <w:hyperlink r:id="rId27">
              <w:r>
                <w:rPr>
                  <w:rStyle w:val="InternetLink"/>
                  <w:rFonts w:ascii="Times New Roman;Times;serif" w:hAnsi="Times New Roman;Times;serif"/>
                  <w:color w:val="000080"/>
                  <w:sz w:val="20"/>
                </w:rPr>
                <w:t>September 25, 2026</w:t>
              </w:r>
            </w:hyperlink>
            <w:r>
              <w:rPr>
                <w:rFonts w:ascii="Times New Roman;Times;serif" w:hAnsi="Times New Roman;Times;serif"/>
                <w:color w:val="000000"/>
                <w:sz w:val="20"/>
              </w:rPr>
              <w:t xml:space="preserve"> and October 5, 2026 (including the </w:t>
            </w:r>
            <w:hyperlink r:id="rId28">
              <w:r>
                <w:rPr>
                  <w:rStyle w:val="InternetLink"/>
                  <w:rFonts w:ascii="Times New Roman;Times;serif" w:hAnsi="Times New Roman;Times;serif"/>
                  <w:color w:val="000080"/>
                  <w:sz w:val="20"/>
                </w:rPr>
                <w:t>first</w:t>
              </w:r>
            </w:hyperlink>
            <w:r>
              <w:rPr>
                <w:rFonts w:ascii="Times New Roman;Times;serif" w:hAnsi="Times New Roman;Times;serif"/>
                <w:color w:val="000000"/>
                <w:sz w:val="20"/>
              </w:rPr>
              <w:t xml:space="preserve"> and </w:t>
            </w:r>
            <w:hyperlink r:id="rId29">
              <w:r>
                <w:rPr>
                  <w:rStyle w:val="InternetLink"/>
                  <w:rFonts w:ascii="Times New Roman;Times;serif" w:hAnsi="Times New Roman;Times;serif"/>
                  <w:color w:val="000080"/>
                  <w:sz w:val="20"/>
                </w:rPr>
                <w:t>second</w:t>
              </w:r>
            </w:hyperlink>
            <w:r>
              <w:rPr>
                <w:rFonts w:ascii="Times New Roman;Times;serif" w:hAnsi="Times New Roman;Times;serif"/>
                <w:color w:val="000000"/>
                <w:sz w:val="20"/>
              </w:rPr>
              <w:t xml:space="preserve"> reports filed on such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common stock contained in our Registration Statement on Form 8-A, filed with the SEC on </w:t>
            </w:r>
            <w:hyperlink r:id="rId30">
              <w:r>
                <w:rPr>
                  <w:rStyle w:val="InternetLink"/>
                  <w:rFonts w:ascii="Times New Roman;Times;serif" w:hAnsi="Times New Roman;Times;serif"/>
                  <w:color w:val="000080"/>
                  <w:sz w:val="20"/>
                </w:rPr>
                <w:t>August 14, 2026</w:t>
              </w:r>
            </w:hyperlink>
            <w:r>
              <w:rPr>
                <w:rFonts w:ascii="Times New Roman;Times;serif" w:hAnsi="Times New Roman;Times;serif"/>
                <w:color w:val="000000"/>
                <w:sz w:val="20"/>
              </w:rPr>
              <w:t xml:space="preserve"> and any amendment or report filed with the SEC for the purpose of updating such description.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3302x1_424b5_203-info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request, and we will provide you with, a copy of these filings, at no cost, by calling us at (801) 947-3100 or by writing to us at the following address: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Neighborhood Intelligence,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433 W. Ascension Way, 3rd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Murray, Utah 84123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Attn.: Secretary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Exhibits to the filings will not be sent, however, unless those exhibits have specifically been incorporated by reference in this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83302x1_424b5_204-summary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2" w:name="sSUM"/>
      <w:bookmarkEnd w:id="12"/>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contained elsewhere in this prospectus supplement and the accompanying base prospectus and in the documents we incorporate by reference herein and therein. This summary does not contain all of the information you should consider before investing in our securities. You should read this entire prospectus supplement and the accompanying base prospectus carefully, especially the risks of investing in our common stock, pre-funded warrants and accompanying warrants discussed under the section entitled “Risk Factors” of this prospectus supplement and the accompanying base prospectus, the risk factors incorporated by reference herein from our most recent Annual Report on Form 10-K, our most recent Quarterly Report on Form 10-Q, and our recently filed Current Reports on Form 8-K, as well as any subsequent Annual Report on Form 10-K, Quarterly Reports on Form 10-Q or Current Reports on Form 8-K we file after the date of this prospectus, along with our financial statements and notes to those financial statements and the other information incorporated by reference in this prospectus supplement and the accompanying base prospectus.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an omni-channel-focused retailer with an affinity model that owns or has ownership interests in various brands, offering a comprehensive array of products and services that enable our customers to enhance everyday life through quality, style, and value. In addition, we also offer an increasing number of add-on services across our platforms, including warranties, shipping insurance, and installation services. Our customer engagement and retention are bolstered by our welcome rewards+ membership program, enhancing the overall value proposition for our customers. We currently own Bed Bath &amp; Beyond, Overstock, buybuy BABY, the Kirkland’s and Kirkland’s Home brands, SFV Services, and now The Container Store, among other brands.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company, based in Murray, Utah, was founded as a Utah limited liability company in 1997, reorganized as a C corporation in the State of Utah in 1998, and reincorporated in Delaware in 2002. We launched our initial website in March 1999. In November 2023, we changed our corporate name from Overstock.com, Inc. to Beyond, Inc., and transferred the principal listing of our common stock from the Nasdaq Global Market to the New York Stock Exchange. In August 2025, we changed our corporate name from Beyond, Inc. to Bed Bath &amp; Beyond, Inc. and changed our ticker symbol from “BYON” to “BBBY”. Our common stock ceased trading under the ticker symbol “BYON” at the close of market August 28, 2025, and on August 29, 2025, our common stock began trading under the ticker symbol “BBBY” on the New York Stock Exchange. On August 14, 2026, we changed our corporate name to Neighborhood Intelligence, Inc. Our common stock ceased trading on the New York Stock Exchange at the close of market on such date, and on August 17, 2026, our common stock began trading on the Nasdaq Global Select Market under the ticker symbol “NXH.”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principal executive offices are located at 433 W. Ascension Way, 3rd Floor, Murray, Utah 84123, and our telephone number is (801) 947-3100.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83302x1_424b5_204-summary_pg2"/>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4" w:name="sOFF"/>
      <w:bookmarkEnd w:id="14"/>
      <w:r>
        <w:rPr>
          <w:rFonts w:ascii="Times New Roman;Times;serif" w:hAnsi="Times New Roman;Times;serif"/>
          <w:b/>
          <w:color w:val="000000"/>
          <w:sz w:val="20"/>
          <w:bdr w:val="single" w:sz="8" w:space="12" w:color="000000"/>
        </w:rPr>
        <w:t xml:space="preserve">THE OFFERING </w:t>
      </w:r>
    </w:p>
    <w:p>
      <w:pPr>
        <w:pStyle w:val="TextBody"/>
        <w:bidi w:val="0"/>
        <w:spacing w:before="1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Common stock offered by us</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11,243,511 shares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Pre-funded warrants offered by us</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Pre-funded warrants to purchase up to 5,241,997 shares of our common stock. The purchase price of the pre-funded warrants matches the price per share at which the shares of our common stock are being sold in this offering, minus $0.001, which is the per share exercise price of the pre-funded warrants. Each pre-funded warrant will be exercisable at any time after the date of issuance of such pre-funded warrant, subject to certain ownership limitations. This prospectus supplement also relates to the offering of the shares of our common stock issuable upon exercise of the pre-funded warrants. There is no established public trading market for the pre-funded warrants being offered hereby, and we do not expect a market to develop. In addition, we do not intend to apply for a listing of the pre-funded warrants on any securities exchange. Without an active market, the liquidity of the pre-funded warrants will be limited. For more information regarding the pre-funded warrants, you should carefully read the section titled “</w:t>
      </w:r>
      <w:r>
        <w:rPr>
          <w:rFonts w:ascii="Times New Roman;Times;serif" w:hAnsi="Times New Roman;Times;serif"/>
          <w:i/>
          <w:color w:val="000000"/>
          <w:sz w:val="20"/>
          <w:bdr w:val="single" w:sz="8" w:space="12" w:color="000000"/>
        </w:rPr>
        <w:t>Description of the Securities We Are Offering</w:t>
      </w:r>
      <w:r>
        <w:rPr>
          <w:rFonts w:ascii="Times New Roman;Times;serif" w:hAnsi="Times New Roman;Times;serif"/>
          <w:color w:val="000000"/>
          <w:sz w:val="20"/>
          <w:bdr w:val="single" w:sz="8" w:space="12" w:color="000000"/>
        </w:rPr>
        <w:t xml:space="preserve">” of this prospectus supplement.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Accompanying warrants offered by us</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Accompanying warrants to purchase up to 16,123,189 shares of our common stock at an exercise price of $3.45 per share of common stock. The common stock, or pre-funded warrants, as applicable, and the accompanying warrants are being sold in combination, with each share of common stock, or share of common stock underlying a pre-funded warrant, being accompanied by a warrant to purchase one share of common stock. Each warrant will be exercisable beginning on the six (6) month anniversary of the date of issuance and will expire five (5) years from the initial exercise date. This prospectus supplement also relates to the offering of the shares of our common stock issuable upon exercise of the accompanying warrants. There is no established public trading market for the warrants being offered hereby, and we do not expect a market to develop. </w:t>
      </w:r>
    </w:p>
    <w:p>
      <w:pPr>
        <w:pStyle w:val="TextBody"/>
        <w:bidi w:val="0"/>
        <w:spacing w:before="12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addition, we do not intend to apply for a listing of the warrants on any securities exchange. Without an active market, the liquidity of the warrants will be limited. For more information regarding the accompanying warrants, you should carefully read the section titled “</w:t>
      </w:r>
      <w:r>
        <w:rPr>
          <w:rFonts w:ascii="Times New Roman;Times;serif" w:hAnsi="Times New Roman;Times;serif"/>
          <w:i/>
          <w:color w:val="000000"/>
          <w:sz w:val="20"/>
          <w:bdr w:val="single" w:sz="8" w:space="12" w:color="000000"/>
        </w:rPr>
        <w:t>Description of the Securities We Are Offering</w:t>
      </w:r>
      <w:r>
        <w:rPr>
          <w:rFonts w:ascii="Times New Roman;Times;serif" w:hAnsi="Times New Roman;Times;serif"/>
          <w:color w:val="000000"/>
          <w:sz w:val="20"/>
          <w:bdr w:val="single" w:sz="8" w:space="12" w:color="000000"/>
        </w:rPr>
        <w:t xml:space="preserve">” of this prospectus supplement.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Placement Agent Warrants</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have agreed to issue to the placement agent, or its designees, warrants to purchase up to 494,565 shares of our common stock, equal to 3.0% of the aggregate number of shares of common stock placed in this offering. The placement agent warrants will have the same terms as the accompanying warrants issued to investors in this offering except placement agent warrants expire five (5) years from the commencement of sales in the offering. The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3302x1_424b5_204-summary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placement agent warrants and the shares of common stock issuable upon exercise of the placement agent warrants are being registered pursuant to this prospectus supplement. There is no established public trading market for the placement agent warrants, and we do not expect a market to develop. For more information see “</w:t>
      </w:r>
      <w:r>
        <w:rPr>
          <w:rFonts w:ascii="Times New Roman;Times;serif" w:hAnsi="Times New Roman;Times;serif"/>
          <w:i/>
          <w:color w:val="000000"/>
          <w:sz w:val="20"/>
          <w:bdr w:val="single" w:sz="8" w:space="12" w:color="000000"/>
        </w:rPr>
        <w:t>Plan of Distribution</w:t>
      </w:r>
      <w:r>
        <w:rPr>
          <w:rFonts w:ascii="Times New Roman;Times;serif" w:hAnsi="Times New Roman;Times;serif"/>
          <w:color w:val="000000"/>
          <w:sz w:val="20"/>
          <w:bdr w:val="single" w:sz="8" w:space="12" w:color="000000"/>
        </w:rPr>
        <w:t xml:space="preserve">” in this prospectus supplement.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Common stock to be outstanding after this offering</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115,193,648 shares, assuming full exercise of the pre-funded warrants and no exercise of the accompanying warrants or the placement agent warrants being offered hereby.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Use of proceeds</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estimate that the net proceeds from this offering will be approximately $42.6 million, after deducting fees payable to the placement agent and other estimated offering expenses payable by us. We intend to use the net proceeds from the offering to accelerate merger synergies and build inventory. Any remaining proceeds will be used for working capital and general corporate purposes. See the section entitled “</w:t>
      </w:r>
      <w:r>
        <w:rPr>
          <w:rFonts w:ascii="Times New Roman;Times;serif" w:hAnsi="Times New Roman;Times;serif"/>
          <w:i/>
          <w:color w:val="000000"/>
          <w:sz w:val="20"/>
          <w:bdr w:val="single" w:sz="8" w:space="12" w:color="000000"/>
        </w:rPr>
        <w:t>Use of Proceeds</w:t>
      </w:r>
      <w:r>
        <w:rPr>
          <w:rFonts w:ascii="Times New Roman;Times;serif" w:hAnsi="Times New Roman;Times;serif"/>
          <w:color w:val="000000"/>
          <w:sz w:val="20"/>
          <w:bdr w:val="single" w:sz="8" w:space="12" w:color="000000"/>
        </w:rPr>
        <w:t xml:space="preserve">” of this prospectus supplement.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Risk factors</w:t>
      </w:r>
    </w:p>
    <w:p>
      <w:pPr>
        <w:pStyle w:val="TextBody"/>
        <w:bidi w:val="0"/>
        <w:spacing w:before="0" w:after="240"/>
        <w:ind w:left="5040" w:right="0" w:hanging="0"/>
        <w:jc w:val="both"/>
        <w:rPr/>
      </w:pPr>
      <w:r>
        <w:rPr>
          <w:rFonts w:ascii="Times New Roman;Times;serif" w:hAnsi="Times New Roman;Times;serif"/>
          <w:color w:val="000000"/>
          <w:sz w:val="20"/>
          <w:bdr w:val="single" w:sz="8" w:space="12" w:color="000000"/>
        </w:rPr>
        <w:t>See the section entitled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beginning on page S-</w:t>
      </w:r>
      <w:hyperlink w:anchor="sRF">
        <w:r>
          <w:rPr>
            <w:rStyle w:val="InternetLink"/>
          </w:rPr>
          <w:t>8</w:t>
        </w:r>
      </w:hyperlink>
      <w:r>
        <w:rPr>
          <w:rFonts w:ascii="Times New Roman;Times;serif" w:hAnsi="Times New Roman;Times;serif"/>
          <w:color w:val="000000"/>
          <w:sz w:val="20"/>
          <w:bdr w:val="single" w:sz="8" w:space="12" w:color="000000"/>
        </w:rPr>
        <w:t xml:space="preserve"> of this prospectus supplement and in the documents included in, or incorporated by reference into, this prospectus supplement for a discussion of certain factors you should carefully consider before deciding to invest in our securities.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Nasdaq Global Select Market symbol</w:t>
      </w:r>
    </w:p>
    <w:p>
      <w:pPr>
        <w:pStyle w:val="TextBody"/>
        <w:bidi w:val="0"/>
        <w:spacing w:before="0" w:after="240"/>
        <w:ind w:left="5040" w:right="0" w:hanging="0"/>
        <w:jc w:val="both"/>
        <w:rPr>
          <w:color w:val="000000"/>
          <w:bdr w:val="single" w:sz="8" w:space="12" w:color="000000"/>
        </w:rPr>
      </w:pPr>
      <w:r>
        <w:rPr>
          <w:color w:val="000000"/>
          <w:bdr w:val="single" w:sz="8" w:space="12" w:color="000000"/>
        </w:rPr>
        <w:t>“</w:t>
      </w:r>
      <w:r>
        <w:rPr>
          <w:rFonts w:ascii="Times New Roman;Times;serif" w:hAnsi="Times New Roman;Times;serif"/>
          <w:color w:val="000000"/>
          <w:sz w:val="20"/>
          <w:bdr w:val="single" w:sz="8" w:space="12" w:color="000000"/>
        </w:rPr>
        <w:t xml:space="preserve">NXH”. There is no established public trading market for the pre-funded warrants or the accompanying warrants, and we do not expect a market to develop. We do not intend to list the pre-funded warrants or the accompanying warrants on Nasdaq or any other nationally recognized securities exchange or trading system.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number of shares of our common stock to be outstanding immediately after this offering is based on 98,708,140 shares of our common stock outstanding as of October 4, 2026 and excludes as of such date: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6,714,201 shares of common stock issuable upon the vesting or exercise, as the case may be, of outstanding equity-based awards (assuming, as to performance-based awards, maximum performance);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1,289,721 shares of common stock reserved for future issuance under future equity grants under our equity incentive plans; </w:t>
            </w:r>
          </w:p>
        </w:tc>
      </w:tr>
    </w:tbl>
    <w:tbl>
      <w:tblPr>
        <w:tblW w:w="8605" w:type="dxa"/>
        <w:jc w:val="left"/>
        <w:tblInd w:w="24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2,430,373 shares of common stock reserved for future issuance under our employee stock purchase plan;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up to 6,884,121 shares of common stock issuable upon the exercise of outstanding warrants (which warrants will expire at 5:00 p.m. New York City time on October 7, 2026); and</w:t>
            </w:r>
          </w:p>
        </w:tc>
      </w:tr>
    </w:tbl>
    <w:tbl>
      <w:tblPr>
        <w:tblW w:w="7990" w:type="dxa"/>
        <w:jc w:val="left"/>
        <w:tblInd w:w="24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25,458,575 shares of common stock issuable upon the exercise of outstanding convertible notes.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3302x1_424b5_204-summary_pg4"/>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Unless otherwise indicated, this prospectus supplement does not reflect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issuance of shares of common stock that remain available for sale as of the date of this prospectus supplement under our “at the market offering” program, pursuant to which we may sell shares of common stock for aggregate gross proceeds of up to $75.0 million from time to time, of which approximately $72.1 million remains available for future sales as of the date of this prospectus supplement, or the ATM Program; </w:t>
            </w:r>
          </w:p>
        </w:tc>
      </w:tr>
    </w:tbl>
    <w:tbl>
      <w:tblPr>
        <w:tblW w:w="8950" w:type="dxa"/>
        <w:jc w:val="left"/>
        <w:tblInd w:w="24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exercise of the outstanding options, warrants or convertible notes or vesting of restricted stock units; and </w:t>
            </w:r>
          </w:p>
        </w:tc>
      </w:tr>
    </w:tbl>
    <w:tbl>
      <w:tblPr>
        <w:tblW w:w="3625" w:type="dxa"/>
        <w:jc w:val="left"/>
        <w:tblInd w:w="240" w:type="dxa"/>
        <w:tblLayout w:type="fixed"/>
        <w:tblCellMar>
          <w:top w:w="0" w:type="dxa"/>
          <w:left w:w="0" w:type="dxa"/>
          <w:bottom w:w="0" w:type="dxa"/>
          <w:right w:w="0" w:type="dxa"/>
        </w:tblCellMar>
      </w:tblPr>
      <w:tblGrid>
        <w:gridCol w:w="110"/>
        <w:gridCol w:w="3515"/>
      </w:tblGrid>
      <w:tr>
        <w:trPr/>
        <w:tc>
          <w:tcPr>
            <w:tcW w:w="110" w:type="dxa"/>
            <w:tcBorders/>
            <w:vAlign w:val="center"/>
          </w:tcPr>
          <w:p>
            <w:pPr>
              <w:pStyle w:val="TableContents"/>
              <w:bidi w:val="0"/>
              <w:spacing w:before="0" w:after="0"/>
              <w:jc w:val="left"/>
              <w:rPr>
                <w:color w:val="000000"/>
              </w:rPr>
            </w:pPr>
            <w:r>
              <w:rPr>
                <w:color w:val="000000"/>
              </w:rPr>
              <w:t>•</w:t>
            </w:r>
          </w:p>
        </w:tc>
        <w:tc>
          <w:tcPr>
            <w:tcW w:w="3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exercise of the warrants offered hereby.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3302x1_424b5_205-risk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sRF"/>
      <w:bookmarkEnd w:id="18"/>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Investment in the securities offered pursuant to this prospectus supplement and the accompanying base prospectus involves risks. You should carefully consider the risk factors described below and in our most recent Annual Report on Form 10-K, our most recent Quarterly Report on Form 10-Q, and our recently filed Current Reports on Form 8-K, incorporated by reference in this prospectus supplement, as well as any amendment or update thereto reflected in subsequent filings with the SEC and all other information contained or incorporated by reference in this prospectus supplement, as updated by our subsequent filings under the Exchange Act. The occurrence of any of these risks might cause you to lose all or part of your investment.</w:t>
      </w:r>
      <w:r>
        <w:rPr>
          <w:rFonts w:ascii="Times New Roman;Times;serif" w:hAnsi="Times New Roman;Times;serif"/>
          <w:i/>
          <w:caps w:val="false"/>
          <w:smallCaps w:val="false"/>
          <w:color w:val="000000"/>
          <w:sz w:val="20"/>
        </w:rPr>
        <w:t xml:space="preserv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this Offering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you purchase our securities sold in this offering, you will experience immediate and substantial dilution in the net tangible book value of your shares. In addition, we may issue additional equity or convertible debt securities in the future, which may result in additional dilution to you.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effective offering price per share in this offering is substantially higher than the net tangible book value per share of our common stock before giving effect to this offering. Accordingly, if you purchase securities in this offering, you will incur immediate and substantial dilution of approximately $1.65 per share (assuming the exercise in full of the pre-funded warrants offered hereby), based on our net tangible book value as of June 30, 2026. For a more detailed discussion of the foregoing, see the section entitled “</w:t>
      </w:r>
      <w:r>
        <w:rPr>
          <w:rFonts w:ascii="Times New Roman;Times;serif" w:hAnsi="Times New Roman;Times;serif"/>
          <w:i/>
          <w:color w:val="000000"/>
          <w:sz w:val="20"/>
        </w:rPr>
        <w:t>Dilution</w:t>
      </w:r>
      <w:r>
        <w:rPr>
          <w:rFonts w:ascii="Times New Roman;Times;serif" w:hAnsi="Times New Roman;Times;serif"/>
          <w:color w:val="000000"/>
          <w:sz w:val="20"/>
        </w:rPr>
        <w:t xml:space="preserve">”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any of the warrants sold in this offering are exercised, you will experience additional dilution. To the extent outstanding stock options or warrants are exercised, there will be further dilution to new investors in this offering.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have broad discretion in the use of the net proceeds from this offering and may not use them effectively.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management will have broad discretion in the application of the net proceeds from this offering, including for any of the purposes described in the section entitled “</w:t>
      </w:r>
      <w:r>
        <w:rPr>
          <w:rFonts w:ascii="Times New Roman;Times;serif" w:hAnsi="Times New Roman;Times;serif"/>
          <w:i/>
          <w:color w:val="000000"/>
          <w:sz w:val="20"/>
        </w:rPr>
        <w:t>Use of Proceeds</w:t>
      </w:r>
      <w:r>
        <w:rPr>
          <w:rFonts w:ascii="Times New Roman;Times;serif" w:hAnsi="Times New Roman;Times;serif"/>
          <w:color w:val="000000"/>
          <w:sz w:val="20"/>
        </w:rPr>
        <w:t xml:space="preserve">,”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The failure by our management to apply these funds effectively could harm our business. Pending their use, we intend to invest the net proceeds from this offering in short-term, investment-grade, interest-bearing instruments. These investments may not yield a favorable return to our stockholders. If we do not invest or apply the net proceeds from this offering in ways that enhance stockholder value, we may fail to achieve expected financial results, which could cause our stock price to decline.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do not expect to pay dividends in the foreseeable future. As a result, you may have to rely on stock appreciation for any return on your investment.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do not anticipate paying cash dividends on our common stock in the foreseeable future. Any payment of cash dividends will, among other things, depend on our financial condition, results of operations, capital requirements and other factors and will be at the discretion of our board of directors. Accordingly, you may have to rely on capital appreciation, if any, to earn a return on your investment in our common stock. Furthermore, we may in the future become subject to additional contractual restrictions on, or prohibitions against, the payment of dividends.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A substantial number of shares of our common stock will be sold in this offering, which could cause the price of our common stock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offering, assuming the exercise in full of the pre-funded warrants and no exercise of the accompanying warrants or the placement agent warrants, we will sell 16,485,508 shares of our common stock, which represents approximately 14.3% of our outstanding shares of common stock as of October 4,, 2026 after giving effect to this offering. Up to 16,617,754 additional shares may be issued upon exercise of the accompanying warrants and the placement agent warrants. This sale could adversely affect the price of our common stock on the Nasdaq Global Select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3302x1_424b5_205-risk_pg2"/>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Market. We cannot predict the effect, if any, that market sales of the shares of common stock issued in this offering or issued upon exercise of the warrants issued in this offering will have on the market price of our common stock. In addition, a decline in the price of our common stock might impede our ability to raise capital through the issuance of additional shares of our common stock or other equity securities and may cause you to lose part or all of your investment in our common stock.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There is no public market for the pre-funded warrants or the accompanying warrants being offered 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no established public trading market for any of the prefunded warrants or the warrants being offered in this offering, and we do not expect a market to develop. In addition, we do not intend to apply to list any of the warrants on any national securities exchange or other nationally recognized trading system, including the Nasdaq Global Select Market. Without an active market, the liquidity of the warrants will be limited.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Except as otherwise provided in the warrants, holders of each of the warrants purchased in this offering will have no rights as common stockholders until such holders exercise their warrants and acquire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Until holders of the warrants acquire shares of our common stock upon exercise thereof, except as otherwise provided in each of the warrants, such holders will have no rights with respect to the shares of our common stock underlying such warrants. Upon exercise of the pre-funded warrants, the accompanying warrants or the placement agent warrants, the holders will be entitled to exercise the rights of a common stockholder only as to matters for which the record date occurs after the exercise date.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Provisions of the warrants could discourage an acquisition of us by a third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provisions of the pre-funded warrants and the accompanying warrants could make it more difficult or expensive for a third party to acquire us. The pre-funded warrants and the accompanying warrants prohibit us from engaging in certain transactions constituting “fundamental transactions” unless, among other things, the surviving entity assumes our obligations under such warrants. These and other provisions of the pre-funded warrants and the accompanying warrants offered pursuant to this prospectus supplement could prevent or deter a third party from acquiring us even where the acquisition could be beneficial to you.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accompanying warrants and any placement agent warrants issued in this offering may not have any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warrants offered hereby do not confer any rights of common stock ownership on their holders, such as voting rights or the right to receive dividends, but rather merely represent the right to acquire shares of common stock at a fixed price. The accompanying warrants offered hereby have an exercise price of $3.45 per share, will be exercisable beginning on the six (6) month anniversary of the date of issuance and expire five (5) years from the initial exercise date. The placement agent warrants will have the same terms as the accompanying warrants except placement agent warrants expire five (5) years from the commencement of sales in the offering. In the event our common stock price does not exceed the exercise price of the warrants during the period when such warrants are exercisable, the warrants may not have any value.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Significant holders or beneficial holders of our common stock may not be permitted to exercise the warrants that they hold.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holder of pre-funded warrants or accompanying warrants will not be entitled to exercise any portion of such warrants which, upon giving effect to such exercise, would cause (i) the aggregate number of shares of our common stock beneficially owned by the holder (together with its affiliates) to exceed 4.99% or upon election of the holder 9.99% of the number of shares of our common stock outstanding immediately after giving effect to the exercise, or (ii) the combined voting power of our securities beneficially owned by the holder (together with its affiliates) to exceed 4.99% or upon election of the holder 9.99% of the combined voting power of all of our securities then outstanding immediately after giving effect to the exercise, as such percentage ownership is determined in accordance with the terms of such warrant. Such percentages may be increased by a holder of warrants to any other percentage not in excess of 4.99% or 9.99% upon at least 61 days’ prior notice from the holder to us. As a result, you may not be able to exercise your warrants for shares of our common stock at a time when it would be financially beneficial for you to do so. In such circumstances you could seek to sell your warrants to realize value, but you may be unable to do so in the absence of an established trading market for the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83302x1_424b5_206-fls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sFLS"/>
      <w:bookmarkEnd w:id="21"/>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the accompanying base prospectus and the documents that we incorporate by reference herein and therein, contain forward-looking statements within the meaning of Section 27A of the Securities Act and Section 21E of the Exchange Act. Any statements in this prospectus supplement, the accompanying base prospectus and the documents that we incorporate by reference herein and therein about our expectations, beliefs, plans, objectives, assumptions or future events or performance are not historical facts and are forward-looking statements. These statements are often, but not always, made through the use of words or phrases such as “may,” “would,” “could,” “should,” “will,” “expect,” “anticipate,” “predict,” “project,” “potential,” “continue,” “contemplate,” “seek,” “assume,” “believe,” “intend,” “plan,” “forecast,” “goal,” “estimate,” or other similar terms or expressions or the negative of these terms or expressions, although not all forward-looking statements contain these identifying terms or expressions. For example, statements concerning financial condition, possible or assumed future results of operations, growth opportunities, industry ranking, plans and objectives of management, markets for our common stock and future management and organizational structure are all forward-looking statements. Forward-looking statements are not guarantees of performance. They involve known and unknown risks, uncertainties and assumptions that may cause actual results, levels of activity, performance or achievements to differ materially from any results, levels of activity, performance or achievements expressed or implied by any forward-looking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forward-looking statements are qualified in their entirety by reference to the risk factors discussed throughout this prospectus supplement, the accompanying base prospectus and the documents incorporated by reference herein and therein. Some of the risks, uncertainties and assumptions that could cause actual results to differ materially from estimates or projections contained in the forward-looking statements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depend on third-party companies to perform functions critical to our business, and any failure or increased cost on their part could have a material adverse effect on our business.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face intense competition and may not be able to compete successfully against existing or future competitors.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not timely identify or effectively respond to consumer needs, expectations or trends, which could adversely affect our relationship with our customers, the demand for our products and services, and our market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business depends on effective marketing, including marketing via email, search engine marketing, influencer marketing, and social media marketing. Our competitors have and may continue to cause us to increase our marketing costs and decrease certain other types of marketing, and have and may continue to outspend us on marketing or be more efficient in their spend.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Economic factors, including recessions, other economic downturns, inflation, our exposure to the U.S. housing market, and decreases in consumer spending, have affected and could continue to adversely affect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Tariffs, bans, or other measures or events that increase the effective price of products or limit our ability to access products we or our suppliers, fulfillment partners, or other third parties that import or export could have a material adverse effect on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changing business model and use of the Bed Bath &amp; Beyond brand, Overstock brand, buybuy BABY brand, Kirkland’s and Kirkland’s Home brand, Beyond brand, and other brands of ours, could negatively impact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changing job market, the changes in our leadership team, the change in our compensation approach, changing job structures, or any inability to attract, retain and engage key personnel could affect our ability to successfully grow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rely upon paid and natural search engines to rank our product offerings, and our financial results may suffer if we are unable to maintain our prior rankings in natural searches.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are not profitable and/or are unable to generate sufficient positive cash flow from operations, our ability to continue in business will depend on our ability to raise additional capital, obtain financing or monetize significant assets, and we may be unable to do so.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83302x1_424b5_206-fls_pg2"/>
        <w:bookmarkEnd w:id="2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business depends on the Internet, our infrastructure and transaction-processing systems, and catastrophic events could adversely affect our operating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ever-evolving federal, state, and foreign laws and other requirements relating to the handling of information about individuals necessitates significant expenditure and resources, and any failure by us, our vendors or our business partners to comply may result in significant liability, negative publicity, and/or an erosion of trust, which could materially adversely affect our business, results of operations, and financial condition.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or our third-party providers experience cyberattacks or data security incidents, there may be damage to our brand and reputation, material financial penalties, and legal liability, which would materially adversely affect our business, results of operations, and financial condition.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Failure to comply with, or changes in, laws, regulations and enforcement activities may adversely affect the products, services, and markets in which we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we are subject to various legal proceedings which could adversely affect our business, financial condition or results of operations.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Damage to our reputation or brand image could adversely affect our sales and results of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do not successfully optimize and operate our fulfillment center or customer service operations, our business could be harmed.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fail to effectively utilize technological advancements, including in artificial intelligence, our business and financial performance could be negatively impacted. </w:t>
            </w:r>
          </w:p>
        </w:tc>
      </w:tr>
    </w:tbl>
    <w:tbl>
      <w:tblPr>
        <w:tblW w:w="8245" w:type="dxa"/>
        <w:jc w:val="left"/>
        <w:tblInd w:w="0" w:type="dxa"/>
        <w:tblLayout w:type="fixed"/>
        <w:tblCellMar>
          <w:top w:w="0" w:type="dxa"/>
          <w:left w:w="0" w:type="dxa"/>
          <w:bottom w:w="0" w:type="dxa"/>
          <w:right w:w="0" w:type="dxa"/>
        </w:tblCellMar>
      </w:tblPr>
      <w:tblGrid>
        <w:gridCol w:w="110"/>
        <w:gridCol w:w="8135"/>
      </w:tblGrid>
      <w:tr>
        <w:trPr/>
        <w:tc>
          <w:tcPr>
            <w:tcW w:w="11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 conflict could negatively impact our business, results of operations, and financial condition.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safety and quality concerns could have a material adverse impact on our revenue and profitability.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depend on our suppliers’ and fulfillment partners’ representations regarding product safety, content and quality, product compliance with various laws and regulations, including registration and/or reporting obligations, and for proper labeling of products. </w:t>
            </w:r>
          </w:p>
        </w:tc>
      </w:tr>
    </w:tbl>
    <w:tbl>
      <w:tblPr>
        <w:tblW w:w="7135" w:type="dxa"/>
        <w:jc w:val="left"/>
        <w:tblInd w:w="0" w:type="dxa"/>
        <w:tblLayout w:type="fixed"/>
        <w:tblCellMar>
          <w:top w:w="0" w:type="dxa"/>
          <w:left w:w="0" w:type="dxa"/>
          <w:bottom w:w="0" w:type="dxa"/>
          <w:right w:w="0" w:type="dxa"/>
        </w:tblCellMar>
      </w:tblPr>
      <w:tblGrid>
        <w:gridCol w:w="110"/>
        <w:gridCol w:w="7025"/>
      </w:tblGrid>
      <w:tr>
        <w:trPr/>
        <w:tc>
          <w:tcPr>
            <w:tcW w:w="11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have an evolving business model, which increases the complexity of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Exercising the warrants is a risky investment and those who exercise their warrants may not be able to recover the value of their investment in the common stock received upon such exercise. Warrant holders could sustain a total loss of the exercise price of any warrants that they exercise.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Investment in new business strategies, acquisitions, dispositions, partnerships, or other transactions could disrupt our ongoing business, present risks not originally contemplated and materially adversely affect our business, reputation, results of operations and financial condition.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Regulatory changes or actions may alter the nature of an investment in us or restrict the use of digital assets, including tokens or blockchain technology in a manner that adversely affects our business, prospects,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Combining our business with those of The Brand House Collective, Inc. (“TBHC”) and The Container Store Holdings, LLC (“TCS”) may be more difficult, costly or time-consuming than expected and the combined company may fail to realize the anticipated benefits of the mergers with TBHC and TCS, which may adversely affect the combined company’s business results and negatively affect the value of the combined company’s common stock. </w:t>
            </w:r>
          </w:p>
        </w:tc>
      </w:tr>
    </w:tbl>
    <w:tbl>
      <w:tblPr>
        <w:tblW w:w="3280" w:type="dxa"/>
        <w:jc w:val="left"/>
        <w:tblInd w:w="0" w:type="dxa"/>
        <w:tblLayout w:type="fixed"/>
        <w:tblCellMar>
          <w:top w:w="0" w:type="dxa"/>
          <w:left w:w="0" w:type="dxa"/>
          <w:bottom w:w="0" w:type="dxa"/>
          <w:right w:w="0" w:type="dxa"/>
        </w:tblCellMar>
      </w:tblPr>
      <w:tblGrid>
        <w:gridCol w:w="110"/>
        <w:gridCol w:w="3170"/>
      </w:tblGrid>
      <w:tr>
        <w:trPr/>
        <w:tc>
          <w:tcPr>
            <w:tcW w:w="11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use of proceeds from this offering.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list sets forth some, but not all, of the factors that could affect our ability to achieve results described in any forward-looking statements. You should read this prospectus supplement, the accompanying base prospectus and the documents incorporated by reference herein and therein completely and with the understanding that our actual future results may be materially different from what we expect. You should assume that the information appearing in this prospectus supplement is accurate as of the date on the front cover of this prospectus supplement only. Because the risk factors referred to in this prospectus supplement and the accompanying base prospectus and incorporated herein by reference could cause actual results or outcomes to differ materially from those expressed in any forward-looking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83302x1_424b5_206-fls_pg3"/>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statements made by us or on our behalf, you should not place undue reliance on any forward-looking statements. Further, any forward-looking statement speaks only as of the date on which it is made, and we undertake no obligation to update any forward-looking statement to reflect events or circumstances after the date on which the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We qualify all of the information presented in this prospectus supplement, the accompanying base prospectus and the documents incorporated by reference herein and therein, and particularly our forward-looking statements, by these cautionary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83302x1_424b5_207-use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 w:name="sUSE"/>
      <w:bookmarkEnd w:id="25"/>
      <w:r>
        <w:rPr>
          <w:rFonts w:ascii="Times New Roman;Times;serif" w:hAnsi="Times New Roman;Times;serif"/>
          <w:b/>
          <w:color w:val="000000"/>
          <w:sz w:val="20"/>
        </w:rPr>
        <w:t xml:space="preserve">USE OF PROCEEDS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estimate that the net proceeds to us from this offering, after deducting fees payable to the placement agent and other estimated offering expenses payable by us, will be approximately $42.6 million. This estimate excludes the proceeds, if any, from the exercise of the pre-funded warrants or the accompanying warrants sold in this offering. We cannot predict when or if any such warrants will be exercised.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use the net proceeds from the offering to accelerate merger synergies and build inventory. Any remaining proceeds will be used for working capital and general corporate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amounts and timing of our actual expenditures will depend on numerous factors, including the factors described under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from this offering. Pending the uses described above, we plan to invest the net proceeds from this offering in short-term, investment-grade, interest-bearing instruments.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83302x1_424b5_207-use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 w:name="sDIV"/>
      <w:bookmarkEnd w:id="27"/>
      <w:r>
        <w:rPr>
          <w:rFonts w:ascii="Times New Roman;Times;serif" w:hAnsi="Times New Roman;Times;serif"/>
          <w:b/>
          <w:color w:val="000000"/>
          <w:sz w:val="20"/>
        </w:rPr>
        <w:t xml:space="preserve">DIVIDEND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in our credit agreement, restrictions imposed by applicable law and other factors that our board of directors deems relevant.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3302x1_424b5_207-use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 w:name="sDIL"/>
      <w:bookmarkEnd w:id="29"/>
      <w:r>
        <w:rPr>
          <w:rFonts w:ascii="Times New Roman;Times;serif" w:hAnsi="Times New Roman;Times;serif"/>
          <w:b/>
          <w:color w:val="000000"/>
          <w:sz w:val="20"/>
        </w:rPr>
        <w:t xml:space="preserve">DILUTION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invest in our securities in this offering, your ownership interest will be diluted to the extent of the difference between the effective price per share of common stock you pay in this offering and the net tangible book value per share of our common stock immediately after this offering. Our net tangible book value as of June 30, 2026 was approximately $66.4 million, or approximately $0.81 per share of common stock, based upon 81,759,874 shares of common stock outstanding as of June 30, 2026. Net tangible book value per share is equal to our total tangible assets, less our total liabilities, divided by the total number of shares of common stock outstanding.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giving effect to the sale by us of 11,243,511 shares of our common stock and accompanying warrants to purchase shares of our common stock at an offering price of $2.76 per share and accompanying warrant, and the sale by us of pre-funded warrants to purchase up to 5,241,997 shares of our common stock and accompanying warrants to purchase shares of our common stock at an offering price of $2.759 per share underlying each pre-funded warrant and accompanying warrant in this offering, after deducting fees payable to the placement agent and other estimated offering expenses payable by us, our as adjusted net tangible book value as of June 30, 2026 would have been $109.0 million, or $1.11 per share of common stock (assuming the exercise in full of the pre-funded warrants offered hereby). This represents an immediate increase in as adjusted net tangible book value of $0.30 per share to our existing stockholders and an immediate dilution in as adjusted net tangible book value of $1.65 per share to new investors in this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Dilution per share is calculated by subtracting as adjusted net tangible book value per share after this offering from the offering price per share paid by new investors.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illustrates this calculation on a per share basis. </w:t>
      </w:r>
    </w:p>
    <w:tbl>
      <w:tblPr>
        <w:tblW w:w="8060" w:type="dxa"/>
        <w:jc w:val="left"/>
        <w:tblInd w:w="0" w:type="dxa"/>
        <w:tblLayout w:type="fixed"/>
        <w:tblCellMar>
          <w:top w:w="0" w:type="dxa"/>
          <w:left w:w="0" w:type="dxa"/>
          <w:bottom w:w="0" w:type="dxa"/>
          <w:right w:w="0" w:type="dxa"/>
        </w:tblCellMar>
      </w:tblPr>
      <w:tblGrid>
        <w:gridCol w:w="6470"/>
        <w:gridCol w:w="140"/>
        <w:gridCol w:w="140"/>
        <w:gridCol w:w="485"/>
        <w:gridCol w:w="140"/>
        <w:gridCol w:w="140"/>
        <w:gridCol w:w="545"/>
      </w:tblGrid>
      <w:tr>
        <w:trPr/>
        <w:tc>
          <w:tcPr>
            <w:tcW w:w="64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6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Combined offering price per share of common stock and accompanying warrant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$2.76 </w:t>
            </w:r>
          </w:p>
        </w:tc>
      </w:tr>
      <w:tr>
        <w:trPr/>
        <w:tc>
          <w:tcPr>
            <w:tcW w:w="6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tangible book value per share as of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6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Increase in net tangible book value per share attributable to the offering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6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adjusted net tangible book value per share after giving effect to the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 </w:t>
            </w:r>
          </w:p>
        </w:tc>
      </w:tr>
      <w:tr>
        <w:trPr/>
        <w:tc>
          <w:tcPr>
            <w:tcW w:w="6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Dilution per share to new investors participating in the offering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w:t>
            </w:r>
          </w:p>
        </w:tc>
      </w:tr>
      <w:tr>
        <w:trPr/>
        <w:tc>
          <w:tcPr>
            <w:tcW w:w="64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above table is based on 81,759,874 shares of our common stock outstanding as of June 30, 2026 and excludes as of such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6,723,668 shares of common stock issuable upon the vesting or exercise, as the case may be, of outstanding equity-based awards (assuming, as to performance-based awards, maximum performance); </w:t>
            </w:r>
          </w:p>
        </w:tc>
      </w:tr>
    </w:tbl>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1,329,107 shares of common stock reserved for future issuance under future equity grants under our equity incentive plans;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2,474,133 shares of common stock reserved for future issuance under our employee stock purchase plan;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up to 6,884,145 shares of common stock issuable upon the exercise of outstanding warrants (which warrants will expire at 5:00 p.m. New York City time on October 7, 2026).</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above table also excludes up to 25,458,575 shares of common stock issuable upon the exercise of outstanding convertible notes issued after June 30, 2026, and approximately 16.9 million shares of common stock issued after June 30, 2026 and prior to the date of this prospectus supplement.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indicated, all information in this prospectus supplement assumes (i) no exercise or conversion, of the outstanding options or warrants described and (ii) no exercise of the accompanying warrants or the placement agent warrants offered and sold in this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that any of these outstanding options or warrants are exercised at prices per share below the effective offering price per share in this offering or we issue additional shares under our equity incentive plans at prices below the effective offering price per share in this offering,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83302x1_424b5_208-desc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sDESC"/>
      <w:bookmarkEnd w:id="31"/>
      <w:r>
        <w:rPr>
          <w:rFonts w:ascii="Times New Roman;Times;serif" w:hAnsi="Times New Roman;Times;serif"/>
          <w:b/>
          <w:color w:val="000000"/>
          <w:sz w:val="20"/>
        </w:rPr>
        <w:t xml:space="preserve">DESCRIPTION OF THE SECURITIES WE ARE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brief summary of certain terms and conditions of our common stock and the warrants being offered in this offering. The following description is subject in all respects to the provisions contained in the applicable form of warrant. This prospectus supplement also relates to the offering of the shares of our common stock issuable upon exercise of the warrants.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material terms and provisions of our common stock are described under the caption “</w:t>
      </w:r>
      <w:r>
        <w:rPr>
          <w:rFonts w:ascii="Times New Roman;Times;serif" w:hAnsi="Times New Roman;Times;serif"/>
          <w:i/>
          <w:color w:val="000000"/>
          <w:sz w:val="20"/>
        </w:rPr>
        <w:t>Description of Capital Stock</w:t>
      </w:r>
      <w:r>
        <w:rPr>
          <w:rFonts w:ascii="Times New Roman;Times;serif" w:hAnsi="Times New Roman;Times;serif"/>
          <w:color w:val="000000"/>
          <w:sz w:val="20"/>
        </w:rPr>
        <w:t xml:space="preserve">” in the accompanying base prospectus.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Pre-Funded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brief summary of certain terms and conditions of the pre-funded warrants to purchase common stock being offered in this offering. The following summary of certain terms and provisions of the pre-funded warrants is not complete and is subject to, and qualified in its entirety by, the provisions of the form of pre-funded warrant. Prospective investors should carefully review the terms and provisions of the form of pre-funded warrant for a complete description of the terms and conditions of the pre-funded warrants.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Form</w:t>
      </w:r>
      <w:r>
        <w:rPr>
          <w:rFonts w:ascii="Times New Roman;Times;serif" w:hAnsi="Times New Roman;Times;serif"/>
          <w:b w:val="false"/>
          <w:color w:val="000000"/>
          <w:sz w:val="20"/>
        </w:rPr>
        <w:t xml:space="preserve">. The form of pre-funded warrant will be filed as an exhibit to our Current Report on Form 8-K in connection with this offering. The pre-funded warrants will be issued in certificated form.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Exercisability</w:t>
      </w:r>
      <w:r>
        <w:rPr>
          <w:rFonts w:ascii="Times New Roman;Times;serif" w:hAnsi="Times New Roman;Times;serif"/>
          <w:b w:val="false"/>
          <w:color w:val="000000"/>
          <w:sz w:val="20"/>
        </w:rPr>
        <w:t xml:space="preserve">. The pre-funded warrants will be exercisable at any time after the date of issuance of such pre-funded warrants, until the pre-funded warrants are exercised in full subject to certain ownership limitations. The pre-funded warrants will be exercisable, at the option of each holder, in whole or in part by delivering to us a duly executed exercise notice and payment in full in immediately available funds for the number of shares of common stock purchased upon such exercise. As an alternative to payment in immediately available funds, a holder may, in its sole discretion, elect to exercise pre-funded warrants through a cashless exercise, in which such holder would receive upon such exercise the net number of shares of our common stock determined according to the formula set forth in the pre-funded warrants. No fractional shares of common stock will be issued in connection with the exercise of the pre-funded warrants.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Exercise Limitation</w:t>
      </w:r>
      <w:r>
        <w:rPr>
          <w:rFonts w:ascii="Times New Roman;Times;serif" w:hAnsi="Times New Roman;Times;serif"/>
          <w:b w:val="false"/>
          <w:color w:val="000000"/>
          <w:sz w:val="20"/>
        </w:rPr>
        <w:t xml:space="preserve">. A holder will not have the right to exercise any portion of the pre-funded warrants held by such holder if the holder (together with its affiliates) would beneficially own in excess of 4.99% (or at the election of the holder, 9.99%) of the number of shares of our common stock outstanding immediately after giving effect to the exercise, as such percentage ownership is determined in accordance with the terms of the pre-funded warrants. However, any holder may increase or decrease such percentage to any other percentage not in excess of 9.99%, provided that any increase in such percentage shall not be effective until 61 days following notice from the holder to us.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Exercise Price</w:t>
      </w:r>
      <w:r>
        <w:rPr>
          <w:rFonts w:ascii="Times New Roman;Times;serif" w:hAnsi="Times New Roman;Times;serif"/>
          <w:b w:val="false"/>
          <w:color w:val="000000"/>
          <w:sz w:val="20"/>
        </w:rPr>
        <w:t xml:space="preserve">. The pre-funded warrants are exercisable for shares of our common stock, at an initial exercise price of $0.001 per share of common stock. The initial exercise price and number of shares of common stock issuable upon exercise of the pre-funded warrants will proportionally adjust in the event of certain stock dividends and distributions, stock splits, stock combinations, reclassifications or similar events affecting our common stock.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Transferability</w:t>
      </w:r>
      <w:r>
        <w:rPr>
          <w:rFonts w:ascii="Times New Roman;Times;serif" w:hAnsi="Times New Roman;Times;serif"/>
          <w:b w:val="false"/>
          <w:color w:val="000000"/>
          <w:sz w:val="20"/>
        </w:rPr>
        <w:t xml:space="preserve">. A pre-funded warrant may be transferred at the option of the holder upon surrender of the pre-funded warrant to us together with the appropriate instruments of transfer.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Fundamental Transaction</w:t>
      </w:r>
      <w:r>
        <w:rPr>
          <w:rFonts w:ascii="Times New Roman;Times;serif" w:hAnsi="Times New Roman;Times;serif"/>
          <w:b w:val="false"/>
          <w:color w:val="000000"/>
          <w:sz w:val="20"/>
        </w:rPr>
        <w:t xml:space="preserve">. In the event we consummate a merger or consolidation with or into another person and our stockholders own less than 50% of the voting power of the surviving entity, we sell all or substantially all of our assets to another person, pursuant to a tender offer or exchange offer, our stockholders tender or exchange shares representing more than 50% of the voting power of our capital stock, we consummate a business combination with another person where the other person acquires more than 50% of the voting power of our capital stock, or we effect any reclassification of our common stock or any compulsory share exchange pursuant to which shares of our common stock are effectively converted into or exchanged for other securities, cash or property, then following such event, the holders of the pre-funded warrants will be entitled to receive upon exercise of such pre-funded warrants the same kind and amount of securities, cash or property which the holders would have received had they exercised their pre-funded warrants immediately prior to such fundamental transaction. Any successor to us or surviving entity shall assume the obligations under the pre-funded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83302x1_424b5_208-desc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Exchange Listing</w:t>
      </w:r>
      <w:r>
        <w:rPr>
          <w:rFonts w:ascii="Times New Roman;Times;serif" w:hAnsi="Times New Roman;Times;serif"/>
          <w:b w:val="false"/>
          <w:color w:val="000000"/>
          <w:sz w:val="20"/>
        </w:rPr>
        <w:t xml:space="preserve">. There is no established public trading market for the pre-funded warrants, and we do not expect a market to develop. In addition, we do not intend to list the pre-funded warrants on any securities exchange or nationally recognized trading system. Without an active trading market, the liquidity of the pre-funded warrants will be limited.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No Rights as a Stockholder</w:t>
      </w:r>
      <w:r>
        <w:rPr>
          <w:rFonts w:ascii="Times New Roman;Times;serif" w:hAnsi="Times New Roman;Times;serif"/>
          <w:b w:val="false"/>
          <w:color w:val="000000"/>
          <w:sz w:val="20"/>
        </w:rPr>
        <w:t xml:space="preserve">. Except as otherwise provided in the pre-funded warrants or by virtue of such holder’s ownership of shares of our common stock, the holders of the pre-funded warrants do not have the rights or privileges of holders of our common stock, including any voting rights, until they exercise their pre-funded warrants.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Accompanying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brief summary of certain terms and conditions of the accompanying warrants to purchase common stock being offered in this offering. The following summary of certain terms and provisions of the accompanying warrants is not complete and is subject to, and qualified in its entirety by, the provisions of the form of accompanying warrant. Prospective investors should carefully review the terms and provisions of the form of accompanying warrant for a complete description of the terms and conditions of the accompanying warrants.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Form</w:t>
      </w:r>
      <w:r>
        <w:rPr>
          <w:rFonts w:ascii="Times New Roman;Times;serif" w:hAnsi="Times New Roman;Times;serif"/>
          <w:b w:val="false"/>
          <w:color w:val="000000"/>
          <w:sz w:val="20"/>
        </w:rPr>
        <w:t xml:space="preserve">. The form of accompanying warrant will be filed as an exhibit to our Current Report on Form 8-K in connection with this offering. The accompanying warrants will be issued in certificated form.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Exercisability</w:t>
      </w:r>
      <w:r>
        <w:rPr>
          <w:rFonts w:ascii="Times New Roman;Times;serif" w:hAnsi="Times New Roman;Times;serif"/>
          <w:b w:val="false"/>
          <w:color w:val="000000"/>
          <w:sz w:val="20"/>
        </w:rPr>
        <w:t xml:space="preserve">. The accompanying warrants will be exercisable beginning on the six (6) month anniversary of the date of issuance and at any time until five (5) years from the initial exercise date, subject to certain ownership limitations. The accompanying warrants will be exercisable, at the option of each holder, in whole or in part by delivering to us a duly executed exercise notice and payment in full in immediately available funds for the number of shares of common stock purchased upon such exercise. As an alternative to payment in immediately available funds, a holder may, under certain circumstances, elect to exercise the accompanying warrants through a cashless exercise, in which such holder would receive upon such exercise the net number of shares of our common stock determined according to the formula set forth in the accompanying warrants. No fractional shares of common stock will be issued in connection with the exercise of the accompanying warrants.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Exercise Limitation</w:t>
      </w:r>
      <w:r>
        <w:rPr>
          <w:rFonts w:ascii="Times New Roman;Times;serif" w:hAnsi="Times New Roman;Times;serif"/>
          <w:b w:val="false"/>
          <w:color w:val="000000"/>
          <w:sz w:val="20"/>
        </w:rPr>
        <w:t xml:space="preserve">. A holder will not have the right to exercise any portion of the accompanying warrants held by such holder if the holder (together with its affiliates) would beneficially own in excess of 4.99% (or at the election of the holder, 9.99%) of the number of shares of our common stock outstanding immediately after giving effect to the exercise, as such percentage ownership is determined in accordance with the terms of the accompanying warrants. However, any holder may increase or decrease such percentage to any other percentage not in excess of 9.99%, provided that any increase in such percentage shall not be effective until 61 days following notice from the holder to us.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Exercise Price</w:t>
      </w:r>
      <w:r>
        <w:rPr>
          <w:rFonts w:ascii="Times New Roman;Times;serif" w:hAnsi="Times New Roman;Times;serif"/>
          <w:b w:val="false"/>
          <w:color w:val="000000"/>
          <w:sz w:val="20"/>
        </w:rPr>
        <w:t xml:space="preserve">. The accompanying warrants are exercisable for shares of our common stock, at an initial exercise price of $3.45 per share of common stock. The initial exercise price and number of shares of common stock issuable upon exercise of the accompanying warrants will proportionally adjust in the event of certain stock dividends and distributions, stock splits, stock combinations, reclassifications or similar events affecting our common stock.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Transferability</w:t>
      </w:r>
      <w:r>
        <w:rPr>
          <w:rFonts w:ascii="Times New Roman;Times;serif" w:hAnsi="Times New Roman;Times;serif"/>
          <w:b w:val="false"/>
          <w:color w:val="000000"/>
          <w:sz w:val="20"/>
        </w:rPr>
        <w:t xml:space="preserve">. An accompanying warrant may be transferred at the option of the holder upon surrender of the accompanying warrant to us together with the appropriate instruments of transfer.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Fundamental Transaction</w:t>
      </w:r>
      <w:r>
        <w:rPr>
          <w:rFonts w:ascii="Times New Roman;Times;serif" w:hAnsi="Times New Roman;Times;serif"/>
          <w:b w:val="false"/>
          <w:color w:val="000000"/>
          <w:sz w:val="20"/>
        </w:rPr>
        <w:t xml:space="preserve">. In the event we consummate a merger or consolidation with or into another person and our stockholders own less than 50% of the voting power of the surviving entity, we sell all or substantially all of our assets to another person, pursuant to a tender offer or exchange offer, our stockholders tender or exchange shares representing more than 50% of the voting power of our capital stock, we consummate a business combination with another person where the other person acquires more than 50% of the voting power of our capital stock, or we effect any reclassification of our common stock or any compulsory share exchange pursuant to which shares of our common stock are effectively converted into or exchanged for other securities, cash or property, then following such event, the holders of the warrants will be entitled to receive upon exercise of such warrants the same kind and amount of securities, cash or property which the holders would have received had they exercised their warrants immediately prior to such fundamental transaction. Additionally, as more fully described in the accompanying warrants, in the event of certain fundamental transactions, the holders of the accompanying warrants will be entitled to receive consideration in an amount equal to the Black Scholes value of the accompanying warrants on the date of consummation of such transaction. Any successor to us or surviving entity shall assume the obligations under the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3302x1_424b5_208-desc_pg3"/>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Exchange Listing</w:t>
      </w:r>
      <w:r>
        <w:rPr>
          <w:rFonts w:ascii="Times New Roman;Times;serif" w:hAnsi="Times New Roman;Times;serif"/>
          <w:b w:val="false"/>
          <w:color w:val="000000"/>
          <w:sz w:val="20"/>
        </w:rPr>
        <w:t xml:space="preserve">. There is no established public trading market for the accompanying warrants, and we do not expect a market to develop. In addition, we do not intend to list the accompanying warrants on any securities exchange or nationally recognized trading system. Without an active trading market, the liquidity of the accompanying warrants will be limited.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No Rights as a Stockholder</w:t>
      </w:r>
      <w:r>
        <w:rPr>
          <w:rFonts w:ascii="Times New Roman;Times;serif" w:hAnsi="Times New Roman;Times;serif"/>
          <w:b w:val="false"/>
          <w:color w:val="000000"/>
          <w:sz w:val="20"/>
        </w:rPr>
        <w:t xml:space="preserve">. Except as otherwise provided in the accompanying warrants or by virtue of such holder’s ownership of shares of our common stock, the holders of the accompanying warrants do not have the rights or privileges of holders of our common stock, including any voting rights, until they exercise their accompanying warrants.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Placement Agent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agreed to issue to the placement agent, or its designees, at the closing of this offering, the placement agent warrants to purchase 3.0% of the number of shares of common stock and shares of common stock issuable upon exercise of the pre-funded warrants sold in this offering. The placement agent warrants will have the same terms as the accompanying warrants issued to investors in this offering except placement agent warrants expire five (5) years from the commencement of sales in the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83302x1_424b5_209-plan_pg1"/>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5" w:name="sPOD"/>
      <w:bookmarkEnd w:id="35"/>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an engagement agreement, dated as of October 5, 2026 (the “Engagement Agreement”) we have engaged Rodman &amp; Renshaw LLC (the “placement agent”), to act as our exclusive placement agent, on a reasonable best-efforts basis, in connection with this offering pursuant to this prospectus supplement and the accompanying prospectus. The terms of this offering are subject to market conditions and negotiations between us, the placement agent, and prospective investors. The engagement agreement does not give rise to any commitment by the placement agent to purchase any of the securities, and the placement agent will have no authority to bind us by virtue of the engagement agreement. The placement agent has no commitment to buy any of the securities offered pursuant to this prospectus supplement and the accompanying prospectus. The placement agent is not purchasing the securities offered by us in this offering and is not required to sell any specific number or dollar amount of securities, but will assist us in this offering on a reasonable best-efforts basis. Further, the placement agent does not guarantee that it will be able to raise new capital in any prospective offering. The placement agent may engage sub-agents or selected dealers to assist with the offering. We have entered into a securities purchase agreement directly with the investors in connection with this offering, and we will only sell to investors who have entered into the securities purchase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expect to deliver the shares of common stock, or pre-funded warrants, as applicable, and the accompanying warrants and placement agent warrant on or about October 6, 2026, subject to customary closing conditions.</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Fees and Expenses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shows, on a per share and accompanying warrant, per pre-funded warrant and accompanying warrant and total basis, the offering price, placement agent fees and proceeds, before expenses to us, assuming no exercise of the pre-funded warrants or the accompanying warrants.</w:t>
      </w:r>
    </w:p>
    <w:tbl>
      <w:tblPr>
        <w:tblW w:w="7160" w:type="dxa"/>
        <w:jc w:val="left"/>
        <w:tblInd w:w="0" w:type="dxa"/>
        <w:tblLayout w:type="fixed"/>
        <w:tblCellMar>
          <w:top w:w="0" w:type="dxa"/>
          <w:left w:w="0" w:type="dxa"/>
          <w:bottom w:w="0" w:type="dxa"/>
          <w:right w:w="0" w:type="dxa"/>
        </w:tblCellMar>
      </w:tblPr>
      <w:tblGrid>
        <w:gridCol w:w="2570"/>
        <w:gridCol w:w="140"/>
        <w:gridCol w:w="140"/>
        <w:gridCol w:w="1115"/>
        <w:gridCol w:w="140"/>
        <w:gridCol w:w="140"/>
        <w:gridCol w:w="1220"/>
        <w:gridCol w:w="140"/>
        <w:gridCol w:w="140"/>
        <w:gridCol w:w="1415"/>
      </w:tblGrid>
      <w:tr>
        <w:trPr/>
        <w:tc>
          <w:tcPr>
            <w:tcW w:w="25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r>
      <w:tr>
        <w:trPr/>
        <w:tc>
          <w:tcPr>
            <w:tcW w:w="25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accompanying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Pre-Funded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accompanying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Offering price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$ 2.76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$ 2.759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$ 45,494,760.08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Placement agent fees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$ 0.1587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$ 0.1587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2,443,750.04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Proceeds to us before expenses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$ 2.6013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$ 2.6003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$ 43,051,010.04</w:t>
            </w:r>
          </w:p>
        </w:tc>
      </w:tr>
      <w:tr>
        <w:trPr/>
        <w:tc>
          <w:tcPr>
            <w:tcW w:w="25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agreed to pay the placement agent in connection with this offering (i) a cash fee equal to 5.75% of the aggregate gross proceeds of this offering other than proceeds received from the sale of shares of common stock pursuant to the President’s List, including Executive Chairman and CEO, Marcus Lemonis, (ii) $65,000 for legal fees, and (iii) $15,950 for the clearing expenses of the placement agent. Additionally, we have agreed to issue placement agent warrants to purchase up to 494,565 shares of common stock, equal to 3.0% of the aggregate number of shares placed, exercisable beginning on the six (6) month anniversary of the date of issuance, expiring five (5) years from the commencement of sales in the offering and with an exercise price equal to $3.45 per share.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also agreed to pay the placement agent a cash fee of 5.75% of the gross exercise price paid in cash with respect to the exercise of any options or warrants issued to the investor in the offering other than the President’s List, which for the avoidance of doubt, includes the gross exercise price received by the Company upon exercise of the accompanying warrants, as the case may be.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estimate that the total expenses payable by us in connection with this offering, excluding the placement agent fees and expenses referred to above, will be approximately $500,000.</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Lock-up Agreements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agreed to be subject to a lock-up for a period of ninety (90) days following the date of closing of the offering pursuant to this prospectus supplement and the accompanying prospectus. This means that, during the applicable lock-up period, we may not issue, enter into any agreement to issue or announce the issuance or proposed issuance of any of our common stock or any securities convertible or exercisable or exchangeable for, common stock, subject to certain exceptions.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also agreed, subject to certain exceptions, until the six (6) months following the date of closing of the offering, not to (i) issue or sell any debt or equity securities that are convertible into, exchangeable or exercisable for, or include the right to receive, additional shares of common stock either (A) at a conversion price, exercise price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83302x1_424b5_209-plan_pg2"/>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our business or the market for our common stock, or (ii) enter into, or effect a transaction under, any agreement, including, but not limited to, an equity line of credit or an “at-the-market” facility, subject certain exceptions.</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Tail</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certain institutional investor in this offering participates in any financing of equity or debt or other capital raising activity of the Company (“Tail Financing”) within the twelve-month period following the expiration or termination of the engagement letter, the Placement Agent will be entitled to (x) 5.75% of the gross proceeds received by us from any such investor in such Tail Financing and (y) warrants to purchase shares of common stock equal to 3% of the aggregate number of shares of common stock sold in such Tail Financing, plus any shares of common stock underlying any convertible securities or units sold in the such Tail Financing.</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Regulation M</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placement agent may be deemed to be an underwriter within the meaning of Section 2(a)(11) of the Securities Act, and any commissions received by it and any profit realized on the resale of the shares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the placement agent:</w:t>
      </w:r>
    </w:p>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may not engage in any stabilization activity in connection with our securities;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may not bid for or purchase any of our securities or attempt to induce any person to purchase any of our securities, other than as permitted under the Exchange Act, until they have completed their participation in the distribution.</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Indemnification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agreed to indemnify the placement agent against certain liabilities, including certain liabilities arising under the Securities Act and to contribute to payments that the placement agent may be required to make for these liabilities.</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Nasdaq Listing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common stock is listed on the Nasdaq Global Select Market under the symbol “NXH.” On October 2, 2026, the last reported sale price of our common stock on the Nasdaq Global Select Market was $2.76 per share.</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Relationships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placement agent and its affiliates may provide, various investment banking, financial advisory and other financial services to us and our affiliates for which they may receive, advisory or transaction fees, as applicable. Except as disclosed in this prospectus supplement, we have no present arrangements with the placement agent for any services.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83302x1_424b5_210-tax_pg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 w:name="sMUS"/>
      <w:bookmarkEnd w:id="38"/>
      <w:r>
        <w:rPr>
          <w:rFonts w:ascii="Times New Roman;Times;serif" w:hAnsi="Times New Roman;Times;serif"/>
          <w:b/>
          <w:color w:val="000000"/>
          <w:sz w:val="20"/>
        </w:rPr>
        <w:t xml:space="preserve">MATERIAL U.S. FEDERAL INCOME TAX CONSEQUENCES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material U.S. federal income tax consequences of the purchase, ownership, and disposition of shares of our common stock, pre-funded warrants and accompanying warrants issued pursuant to this offering and shares of our common stock received upon exercise of the pre-funded warrants and accompanying warrants (collectively, the “Securities”),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the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limited to holders that hold the Securities as “capital assets”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any alternative minimum tax. In addition, it does not address consequences relevant to holders subject to special rules, including, without limitation: </w:t>
      </w:r>
    </w:p>
    <w:tbl>
      <w:tblPr>
        <w:tblW w:w="6535" w:type="dxa"/>
        <w:jc w:val="left"/>
        <w:tblInd w:w="0" w:type="dxa"/>
        <w:tblLayout w:type="fixed"/>
        <w:tblCellMar>
          <w:top w:w="0" w:type="dxa"/>
          <w:left w:w="0" w:type="dxa"/>
          <w:bottom w:w="0" w:type="dxa"/>
          <w:right w:w="0" w:type="dxa"/>
        </w:tblCellMar>
      </w:tblPr>
      <w:tblGrid>
        <w:gridCol w:w="110"/>
        <w:gridCol w:w="6425"/>
      </w:tblGrid>
      <w:tr>
        <w:trPr/>
        <w:tc>
          <w:tcPr>
            <w:tcW w:w="11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and former citizens or long-term residents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holding the Securities as part of a hedge, straddle, or other risk reduction strategy or as part of a conversion transaction or other integrated investment; </w:t>
            </w:r>
          </w:p>
        </w:tc>
      </w:tr>
    </w:tbl>
    <w:tbl>
      <w:tblPr>
        <w:tblW w:w="5095" w:type="dxa"/>
        <w:jc w:val="left"/>
        <w:tblInd w:w="0" w:type="dxa"/>
        <w:tblLayout w:type="fixed"/>
        <w:tblCellMar>
          <w:top w:w="0" w:type="dxa"/>
          <w:left w:w="0" w:type="dxa"/>
          <w:bottom w:w="0" w:type="dxa"/>
          <w:right w:w="0" w:type="dxa"/>
        </w:tblCellMar>
      </w:tblPr>
      <w:tblGrid>
        <w:gridCol w:w="110"/>
        <w:gridCol w:w="4985"/>
      </w:tblGrid>
      <w:tr>
        <w:trPr/>
        <w:tc>
          <w:tcPr>
            <w:tcW w:w="11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insurance companies, and other financial institutions;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or real estate investment trusts; </w:t>
            </w:r>
          </w:p>
        </w:tc>
      </w:tr>
    </w:tbl>
    <w:tbl>
      <w:tblPr>
        <w:tblW w:w="3355" w:type="dxa"/>
        <w:jc w:val="left"/>
        <w:tblInd w:w="0" w:type="dxa"/>
        <w:tblLayout w:type="fixed"/>
        <w:tblCellMar>
          <w:top w:w="0" w:type="dxa"/>
          <w:left w:w="0" w:type="dxa"/>
          <w:bottom w:w="0" w:type="dxa"/>
          <w:right w:w="0" w:type="dxa"/>
        </w:tblCellMar>
      </w:tblPr>
      <w:tblGrid>
        <w:gridCol w:w="110"/>
        <w:gridCol w:w="3245"/>
      </w:tblGrid>
      <w:tr>
        <w:trPr/>
        <w:tc>
          <w:tcPr>
            <w:tcW w:w="110" w:type="dxa"/>
            <w:tcBorders/>
            <w:vAlign w:val="center"/>
          </w:tcPr>
          <w:p>
            <w:pPr>
              <w:pStyle w:val="TableContents"/>
              <w:bidi w:val="0"/>
              <w:spacing w:before="0" w:after="0"/>
              <w:jc w:val="left"/>
              <w:rPr>
                <w:color w:val="000000"/>
              </w:rPr>
            </w:pPr>
            <w:r>
              <w:rPr>
                <w:color w:val="000000"/>
              </w:rPr>
              <w:t>•</w:t>
            </w:r>
          </w:p>
        </w:tc>
        <w:tc>
          <w:tcPr>
            <w:tcW w:w="3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dealers, or traders in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controlled foreign corporations,” “foreign controlled foreign corporations,” “passive foreign investment companies,” and corporations that accumulate earnings to avoid U.S. federal income tax;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or other entities or arrangements treated as partnerships for U.S. federal income tax purposes (and investors therein);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or governmental organizations; </w:t>
            </w:r>
          </w:p>
        </w:tc>
      </w:tr>
    </w:tbl>
    <w:tbl>
      <w:tblPr>
        <w:tblW w:w="7315" w:type="dxa"/>
        <w:jc w:val="left"/>
        <w:tblInd w:w="0" w:type="dxa"/>
        <w:tblLayout w:type="fixed"/>
        <w:tblCellMar>
          <w:top w:w="0" w:type="dxa"/>
          <w:left w:w="0" w:type="dxa"/>
          <w:bottom w:w="0" w:type="dxa"/>
          <w:right w:w="0" w:type="dxa"/>
        </w:tblCellMar>
      </w:tblPr>
      <w:tblGrid>
        <w:gridCol w:w="110"/>
        <w:gridCol w:w="7205"/>
      </w:tblGrid>
      <w:tr>
        <w:trPr/>
        <w:tc>
          <w:tcPr>
            <w:tcW w:w="110" w:type="dxa"/>
            <w:tcBorders/>
            <w:vAlign w:val="center"/>
          </w:tcPr>
          <w:p>
            <w:pPr>
              <w:pStyle w:val="TableContents"/>
              <w:bidi w:val="0"/>
              <w:spacing w:before="0" w:after="0"/>
              <w:jc w:val="left"/>
              <w:rPr>
                <w:color w:val="000000"/>
              </w:rPr>
            </w:pPr>
            <w:r>
              <w:rPr>
                <w:color w:val="000000"/>
              </w:rPr>
              <w:t>•</w:t>
            </w:r>
          </w:p>
        </w:tc>
        <w:tc>
          <w:tcPr>
            <w:tcW w:w="7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deemed to sell the Securities under the constructive sale provisions of the Code; </w:t>
            </w:r>
          </w:p>
        </w:tc>
      </w:tr>
    </w:tbl>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have elected to mark securities to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who hold or receive the Securities pursuant to the exercise of any employee stock option or otherwise as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with respect to the Securities being taken into account in an “applicable financial statement” (as defined in the Code); </w:t>
            </w:r>
          </w:p>
        </w:tc>
      </w:tr>
    </w:tbl>
    <w:tbl>
      <w:tblPr>
        <w:tblW w:w="2980" w:type="dxa"/>
        <w:jc w:val="left"/>
        <w:tblInd w:w="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tax-qualified retirement plans;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qualified foreign pension funds” as defined in Section 897(l)(2) of the Code and entities all of the interests of which are held by qualified foreign pension funds.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 entity or arrangement treated as a partnership for U.S. federal income tax purposes holds the Securities, the tax treatment of a partner in the partnership will depend on the status of the partner, the activities of the partnership, and certain determinations made at the partner level. Accordingly, partnerships holding the Securities and the partners in such partnerships should consult their tax advisors regarding the U.S. federal income tax consequences to them.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THE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83302x1_424b5_210-tax_pg2"/>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ARISING UNDER THE U.S. FEDERAL ESTATE OR GIFT TAX LAWS OR UNDER THE LAWS OF ANY STATE, LOCAL, OR NON-U.S. TAXING JURISDICTION OR UNDER ANY APPLICABLE INCOME TAX TREATY</w:t>
      </w:r>
      <w:r>
        <w:rPr>
          <w:rFonts w:ascii="Times New Roman;Times;serif" w:hAnsi="Times New Roman;Times;serif"/>
          <w:b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Allocation of Purchase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share of common stock or pre-funded warrant, as applicable, and accompanying warrant purchased at original issuance pursuant to this offering will be treated for U.S. federal income tax purposes as an investment unit consisting of one share of our common stock or pre-funded warrant, as applicable, and one accompanying warrant to purchase one share of our common stock. In determining a holder’s initial tax basis for the share of common stock or pre-funded warrant and accompanying warrant constituting an investment unit, holders should allocate their purchase price for the investment unit between the share of common stock or pre-funded warrant, as applicable, and the accompanying warrant on the basis of their respective fair market values at the time of issuance. We do not intend to advise holders with respect to this determination, and holders are advised to consult their tax and financial advisors with respect to the relative fair market values of the shares of common stock or pre-funded warrants, as applicable, and the accompanying warrants or the placement agent warrants for U.S. federal income tax purposes.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Pre-funded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not free from doubt, a pre-funded warrant should be treated as a share of our common stock for U.S. federal income tax purposes, and a holder of pre-funded warrants should generally be taxed in the same manner as a holder of common stock, as described below. Accordingly, no gain or loss should be recognized upon the exercise of a pre-funded warrant (other than with respect to cash paid in lieu of a fractional share, and except in the case of a cashless exercise, the treatment of which for U.S. federal income tax purposes is not clear) and, upon exercise, the holding period of a pre-funded warrant should carry over to the share of common stock received. Similarly, the tax basis of the pre-funded warrant should carry over to the share of common stock received upon exercise, increased by the exercise price. Our characterization is not binding on the IRS, and the IRS may treat a pre-funded warrant as a warrant to acquire our common stock. In that case, the amount and character of any gain or loss with respect to an investment in a pre-funded warrant could be materially different from the discussion set forth herein. The remainder of this discussion generally assumes that a pre-funded warrant is treated as a share of our common stock for U.S. federal income tax purposes. Holders should consult their tax advisors regarding the risks associated with the acquisition of pre-funded warrants pursuant to this offering (including alternative characterizations).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Pre-Funded Warrants, the Accompanying Warrants and the Placement Agent Warrants in Connection with Declaration of Distribution on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or after the purchase date and on or prior to termination of a pre-funded warrant, the accompanying warrant or the placement agent warrant, as applicable, we declare a distribution on shares of common stock, then, upon exercise of such pre-funded warrant, accompanying warrant or the placement agent warrant, as applicable, the holder shall generally be entitled to share in such declared distribution on an as-converted basis. We intend to treat such distribution as a distribution on the pre-funded warrant, the accompanying warrant or the placement agent warrant, as applicable, at the time the distribution is made on the shares of common stock, regardless of whether the holder of the pre-funded warrant, the accompanying warrant or the placement agent warrant, as applicable, exercises its warrant at that time and actually receives the distribution. See “- </w:t>
      </w:r>
      <w:r>
        <w:rPr>
          <w:rFonts w:ascii="Times New Roman;Times;serif" w:hAnsi="Times New Roman;Times;serif"/>
          <w:i/>
          <w:color w:val="000000"/>
          <w:sz w:val="20"/>
        </w:rPr>
        <w:t>Tax Considerations Applicable to U.S. Holders - Distributions” and “Tax Considerations Applicable to Non-U.S. Holders - Distributions,</w:t>
      </w:r>
      <w:r>
        <w:rPr>
          <w:rFonts w:ascii="Times New Roman;Times;serif" w:hAnsi="Times New Roman;Times;serif"/>
          <w:color w:val="000000"/>
          <w:sz w:val="20"/>
        </w:rPr>
        <w:t xml:space="preserve">” below. Holders of pre-funded warrants, the accompanying warrants or the placement agent warrants should consult their tax advisors regarding the consequences to them with respect to distributions made on shares of common stock, including the allocation of amounts received upon a subsequent sale of, and the basis of any subsequent property received upon subsequent exercise of, such pre-funded warrant, the accompanying warrant or the placement agent warrant.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83302x1_424b5_210-tax_pg3"/>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Applicable to U.S. Holders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Definition of a U.S.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any beneficial owner of the Securities that, for U.S. federal income tax purposes, is or is treated as any of the following: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9550" w:type="dxa"/>
        <w:jc w:val="left"/>
        <w:tblInd w:w="0" w:type="dxa"/>
        <w:tblLayout w:type="fixed"/>
        <w:tblCellMar>
          <w:top w:w="0" w:type="dxa"/>
          <w:left w:w="0" w:type="dxa"/>
          <w:bottom w:w="0" w:type="dxa"/>
          <w:right w:w="0" w:type="dxa"/>
        </w:tblCellMar>
      </w:tblPr>
      <w:tblGrid>
        <w:gridCol w:w="110"/>
        <w:gridCol w:w="9440"/>
      </w:tblGrid>
      <w:tr>
        <w:trPr/>
        <w:tc>
          <w:tcPr>
            <w:tcW w:w="11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created or organized under the laws of the United States, any state thereof, or the District of Columbia;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“Dividend Policy,” we do not anticipate declaring or paying dividends to holders of our common stock in the foreseeable future. However, if we do make distributions of cash or property on our common stock (other than certain distributions of common stock), such distributions generally will constitute dividends to the extent paid out of our current or accumulated earnings and profits, as determined for U.S. federal income tax purposes. As noted above, under “</w:t>
      </w:r>
      <w:r>
        <w:rPr>
          <w:rFonts w:ascii="Times New Roman;Times;serif" w:hAnsi="Times New Roman;Times;serif"/>
          <w:i/>
          <w:color w:val="000000"/>
          <w:sz w:val="20"/>
        </w:rPr>
        <w:t>- Treatment of Pre-Funded Warrants the Accompanying Warrants and the Placement Agent Warrants in Connection with Declaration of Distribution on Common Stock,</w:t>
      </w:r>
      <w:r>
        <w:rPr>
          <w:rFonts w:ascii="Times New Roman;Times;serif" w:hAnsi="Times New Roman;Times;serif"/>
          <w:color w:val="000000"/>
          <w:sz w:val="20"/>
        </w:rPr>
        <w:t xml:space="preserve">” distributions made to holders of shares of common stock may result in distributions being deemed received by holders of pre-funded warrants, the accompanying warrants or the placement agent warrants as well.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common stock, pre-funded warrants or accompanying warrants, as applicable, but not below zero.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excess will be treated as capital gain and will be treated as described below in the section relating to the sale or disposition of our common stock, pre-funded warrants or accompanying warrants, as applicable.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 or Other Taxable Disposition of Common Stock or Pre-funded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sale or other taxable disposition of the common stock or pre-funded warrants, a U.S. Holder generally will recognize capital gain or loss equal to the difference between (i) the amount of cash and the fair market value of any property received upon the sale or other taxable disposition and (ii) such U.S. Holder’s adjusted tax basis in the common stock or pre-funded warrant. Such capital gain or loss generally will be long-term capital gain or loss if the U.S. Holder’s holding period in such common stock or pre-funded warrant is more than one year at the time of the sale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 or Other Taxable Disposition, Exercise or Expiration of the Accompanying Warrants or the Placement Agent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sale or other taxable disposition of an accompanying warrant or the placement agent warrant (other than by exercise), a U.S. Holder will generally recognize capital gain or loss equal to the difference between the amount realized on the sale or other disposition and the U.S. Holder’s tax basis in such warrant. This capital gain or loss generally will be long-term capital gain or loss if the U.S. Holder’s holding period in such warrant is more than one year at the time of the sale or other disposition. The deductibility of capital losses is subject to certain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and subject to the discussion of cashless exercise below, a U.S. Holder will not be required to recognize income, gain or loss upon exercise of an accompanying warrant or the placement agent warrant, as applicable, for its exercise price (except to the extent the U.S. Holder receives a cash payment for a fractional share that would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83302x1_424b5_210-tax_pg4"/>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have been issuable upon exercise of such warrant, which will be treated as a sale as described above under “Sale or Other Taxable Disposition of Common Stock or Pre-funded Warrants”). A U.S. Holder’s tax basis in a share of common stock received upon exercise of accompanying warrants or the placement agent warrants will be equal to the sum of (1) the U.S. Holder’s tax basis in the warrants exchanged therefor and (2) the exercise price of such warrants. A U.S. Holder’s holding period in the shares of common stock received upon exercise will commence on the day after such U.S. Holder exercises the accompanying warrants or the placement agent warrants. Although there is no direct legal authority as to the U.S. federal income tax treatment of an exercise of a warrant on a cashless basis, it is possible that a cashless exercise will be treated as non-taxable, either because the exercise is not a gain realization event or because it qualifies as a tax-free recapitalization. In the former case, the holding period of the shares of common stock received upon exercise of warrants should commence on the day after the warrants are exercised. In the latter case, the holding period of the shares of common stock received upon exercise of warrants would include the holding period of the exercised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it is also possible that a cashless exercise of an accompanying warrant will be treated as in part a taxable exchange, in which case gain or loss would be recognized to the extent a portion of the warrants are deemed surrendered to pay the exercise price of the remaining warrants. U.S. Holders are urged to consult their tax advisors as to the consequences of an exercise of an accompanying warrant on a cashless basis, including with respect to their holding period and tax basis in the common stock received.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 accompanying warrant expires without being exercised, a U.S. Holder will recognize a capital loss in an amount equal to such U.S. Holder’s tax basis in such warrant. Such loss generally will be long-term capital loss if, at the time of the expiration, the U.S. Holder’s holding period in such warrant is more than one year. The deductibility of capital losses is subject to certain limitations.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Constructive Dividends on Pre-funded Warrants or the Accompanying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Dividend Policy</w:t>
      </w:r>
      <w:r>
        <w:rPr>
          <w:rFonts w:ascii="Times New Roman;Times;serif" w:hAnsi="Times New Roman;Times;serif"/>
          <w:color w:val="000000"/>
          <w:sz w:val="20"/>
        </w:rPr>
        <w:t>,” we do not anticipate declaring or paying dividends to holders of our common stock in the foreseeable future. However, if at any time during the period in which a U.S. Holder holds pre-funded warrants or the accompanying warrants, the exercise price or shares or other consideration issuable on conversion of the pre-funded warrants or the accompanying warrants is adjusted as a result of certain events affecting our common stock (or in certain circumstances, there is a failure to make adjustments), such adjustments (or failure to make adjustments) may result in the deemed payment of a distribution to a U.S. Holder. Any such deemed distribution would be taxable as a dividend, return of capital or capital gain as described above under “-</w:t>
      </w:r>
      <w:r>
        <w:rPr>
          <w:rFonts w:ascii="Times New Roman;Times;serif" w:hAnsi="Times New Roman;Times;serif"/>
          <w:i/>
          <w:color w:val="000000"/>
          <w:sz w:val="20"/>
        </w:rPr>
        <w:t>Distributions</w:t>
      </w:r>
      <w:r>
        <w:rPr>
          <w:rFonts w:ascii="Times New Roman;Times;serif" w:hAnsi="Times New Roman;Times;serif"/>
          <w:color w:val="000000"/>
          <w:sz w:val="20"/>
        </w:rPr>
        <w:t xml:space="preserve">.” U.S. Holders should consult their tax advisors regarding the proper treatment of any adjustments to the exercise price and shares or other consideration issuable on conversion of the pre-funded warrants, the accompanying warrants or the placement agent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unclear whether a constructive dividend deemed paid to a non-corporate U.S. Holder would be eligible for the lower applicable long-term capital gains rates as described above under “- </w:t>
      </w:r>
      <w:r>
        <w:rPr>
          <w:rFonts w:ascii="Times New Roman;Times;serif" w:hAnsi="Times New Roman;Times;serif"/>
          <w:i/>
          <w:color w:val="000000"/>
          <w:sz w:val="20"/>
        </w:rPr>
        <w:t>Distributions</w:t>
      </w:r>
      <w:r>
        <w:rPr>
          <w:rFonts w:ascii="Times New Roman;Times;serif" w:hAnsi="Times New Roman;Times;serif"/>
          <w:color w:val="000000"/>
          <w:sz w:val="20"/>
        </w:rPr>
        <w:t xml:space="preserve">.” It is also unclear whether corporate U.S. Holders would be entitled to claim the dividends received deduction with respect to any such deemed dividends. Generally, a U.S. Holder’s adjusted tax basis in a pre-funded warrant, accompanying warrant or the placement agent warrant will be increased to the extent any such deemed distribution is treated as a dividend. U.S. Holders should consult their tax advisors regarding the effect a deemed distribution may have on their holding period in the pre-funded warrants, the accompanying warrants or the placement agent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currently required to report the amount of any deemed distributions on our website or to the IRS and to holders not exempt from reporting. The IRS has proposed regulations addressing the amount and timing of deemed distributions, as well as obligations of withholding agents and filing and notice obligations of issuers in respect of such deemed distributions. If adopted as proposed, the regulations would generally provide that (i) the amount of a deemed distribution is the excess of the fair market value of the right to acquire stock immediately after the exercise price adjustment over the fair market value of the right to acquire stock (after the exercise price adjustment) without the adjustment, (ii) the deemed distribution occurs at the earlier of the date the adjustment occurs under the terms of the instrument and the date of the distribution of cash or property that results in the deemed distribution, (iii) subject to certain limited exceptions, a withholding agent is required to impose any applicable withholding on deemed distributions and, if there is no associated cash payment, may withhold the required amounts from, or set off the required amounts against, payments on the pre-funded warrants, the accompanying warrants or the placement agent warrants, as applicable, payments on our common stock or sales proceeds received by or other funds or assets of an investor, and (iv) we are required to report the amount of any deemed distributions on our website or to the IRS and to all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83302x1_424b5_210-tax_pg5"/>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holders that would otherwise be exempt from reporting). The final regulations will be effective for deemed distributions occurring on or after the date of adoption, but holders and withholding agents may rely on them prior to that date under certain circumstances.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may be subject to information reporting and backup withholding when such holder receives payments (including constructive dividends) on the Securities or receives proceeds from the sale or other taxable disposition of the Securities. Certain U.S. Holders are exempt from backup withholding, including corporations and certain tax-exempt organizations. A U.S. Holder will be subject to backup withholding if such holder is not otherwise exempt and such holder: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fails to furnish the holder’s taxpayer identification number, which for an individual is ordinarily his or her social security number;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furnishes an incorrect taxpayer identification number;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 notified by the IRS that the holder previously failed to properly report payments of interest or dividends;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fails to certify under penalties of perjury that the holder has furnished a correct taxpayer identification number and that the IRS has not notified the holder that the holder is subject to backup withholding.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Applicable to Non-U.S.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“Non-U.S. Holder” is any beneficial owner of the Securities that is neither a U.S. Holder nor an entity or arrangement treated as a partnership for U.S. federal income tax purposes.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the section entitled “Dividend Policy,” we do not anticipate paying any cash dividends on our common stock in the foreseeable future. However, if we do make distributions of cash or property (other than certain distributions of common stock) on our common stock, such distributions will constitute dividends for U.S. federal income tax purposes to the extent paid from our current or accumulated earnings and profits, as determined under U.S. federal income tax principles. As noted above, under “- </w:t>
      </w:r>
      <w:r>
        <w:rPr>
          <w:rFonts w:ascii="Times New Roman;Times;serif" w:hAnsi="Times New Roman;Times;serif"/>
          <w:i/>
          <w:color w:val="000000"/>
          <w:sz w:val="20"/>
        </w:rPr>
        <w:t>Treatment of Pre-Funded Warrants, the Accompanying Warrants and the Placement Agent Warrants in Connection with Declaration of Distribution on Common Stock</w:t>
      </w:r>
      <w:r>
        <w:rPr>
          <w:rFonts w:ascii="Times New Roman;Times;serif" w:hAnsi="Times New Roman;Times;serif"/>
          <w:color w:val="000000"/>
          <w:sz w:val="20"/>
        </w:rPr>
        <w:t xml:space="preserve">,” distributions made to holders of shares of common stock may result in distributions being deemed received by holders of pre-funded warrants, the accompanying warrants and the placement agent warrants as well. Amounts not treated as dividends for U.S. federal income tax purposes will constitute a return of capital and first be applied against and reduce a Non-U.S. Holder’s adjusted tax basis in its common stock, pre-funded warrant, accompanying warrant or placement agent warrant, as applicable, but not below zero. Any excess will be treated as capital gain and will be treated as described below under “- Sale or Other Taxable Disposition.” Because we may not know the extent to which a distribution is a dividend for U.S. federal income tax purposes at the time it is made, for purposes of these withholding rules we or the applicable withholding agent may treat the entire distribution as a dividend.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83302x1_424b5_210-tax_pg6"/>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Exercise of Accompanying Warrants or the Placement Agent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Non-U.S. holder generally will not be subject to U.S. federal income tax on the exercise of accompanying warrants or the placement agent warrants. However, if a cashless exercise of accompanying warrants or the placement agent warrants, as applicable, results in a taxable exchange, as described above under “</w:t>
      </w:r>
      <w:r>
        <w:rPr>
          <w:rFonts w:ascii="Times New Roman;Times;serif" w:hAnsi="Times New Roman;Times;serif"/>
          <w:i/>
          <w:color w:val="000000"/>
          <w:sz w:val="20"/>
        </w:rPr>
        <w:t>- Tax Considerations Applicable to U.S. Holders - Sale or Other Taxable Disposition, Exercise or Expiration of the Accompanying Warrants or the Placement Agent Warrants,</w:t>
      </w:r>
      <w:r>
        <w:rPr>
          <w:rFonts w:ascii="Times New Roman;Times;serif" w:hAnsi="Times New Roman;Times;serif"/>
          <w:color w:val="000000"/>
          <w:sz w:val="20"/>
        </w:rPr>
        <w:t>” the rules described below under “</w:t>
      </w:r>
      <w:r>
        <w:rPr>
          <w:rFonts w:ascii="Times New Roman;Times;serif" w:hAnsi="Times New Roman;Times;serif"/>
          <w:i/>
          <w:color w:val="000000"/>
          <w:sz w:val="20"/>
        </w:rPr>
        <w:t>- Sale or Other Taxable Disposition</w:t>
      </w:r>
      <w:r>
        <w:rPr>
          <w:rFonts w:ascii="Times New Roman;Times;serif" w:hAnsi="Times New Roman;Times;serif"/>
          <w:color w:val="000000"/>
          <w:sz w:val="20"/>
        </w:rPr>
        <w:t xml:space="preserve">” would apply.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 or Other Taxable Disposition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Non-U.S. Holder will not be subject to U.S. federal income tax on any gain realized, and will not be able to utilize any loss realized, upon the sale or other taxable disposition (including, for this purpose the expiration of an accompanying warrant or the placement agent warrant) of the Securities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gain or loss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Non-U.S. Holder is a nonresident alien individual present in the United States for 183 days or more during the taxable year of the disposition and certain other requirements are met;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Securities constitute U.S. real property interests (“USRPIs”), by reason of our status as a U.S. real property holding corporation (“USRPHC”), for U.S. federal income tax purposes.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Non-U.S. Holder described in the second bullet point above will be subject to U.S. federal income tax at a rate of 30% (or such lower rate specified by an applicable income tax treaty) on gain realized upon the sale or other taxable disposition of the Securities, which may be offset by certain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Non-U.S. Holders should consult their tax advisors regarding potentially applicable income tax treaties that may provide for different rules.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Constructive Dividends on our Pre-funded Warrants, Accompanying Warrants or Placement Agent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Dividend Policy</w:t>
      </w:r>
      <w:r>
        <w:rPr>
          <w:rFonts w:ascii="Times New Roman;Times;serif" w:hAnsi="Times New Roman;Times;serif"/>
          <w:color w:val="000000"/>
          <w:sz w:val="20"/>
        </w:rPr>
        <w:t>,” we do not expect to pay any cash dividends on our common stock in the foreseeable future. However, if at any time during the period in which a Non-U.S. Holder holds pre-funded warrants, accompanying warrants or the placement agent warrants, the exercise price or shares or other consideration issuable on conversion of the pre-funded warrants, the accompanying warrants or the placement agent warrants is adjusted as a result of certain events affecting our common stock (or in certain circumstances, there is a failure to make adjustments), such adjustments (or failure to make adjustments) may also result in the deemed payment of a distribution to a Non-U.S. Holder. Any such deemed distribution would be taxable as a dividend, return of capital or capital gain as described above under “- </w:t>
      </w:r>
      <w:r>
        <w:rPr>
          <w:rFonts w:ascii="Times New Roman;Times;serif" w:hAnsi="Times New Roman;Times;serif"/>
          <w:i/>
          <w:color w:val="000000"/>
          <w:sz w:val="20"/>
        </w:rPr>
        <w:t>Distributions</w:t>
      </w:r>
      <w:r>
        <w:rPr>
          <w:rFonts w:ascii="Times New Roman;Times;serif" w:hAnsi="Times New Roman;Times;serif"/>
          <w:color w:val="000000"/>
          <w:sz w:val="20"/>
        </w:rPr>
        <w:t xml:space="preserve">.” Any resulting withholding tax attributable to deemed dividends may be collected from other amounts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83302x1_424b5_210-tax_pg7"/>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payable or distributable to, or other assets of, the Non-U.S. Holder. See the section above entitled “- </w:t>
      </w:r>
      <w:r>
        <w:rPr>
          <w:rFonts w:ascii="Times New Roman;Times;serif" w:hAnsi="Times New Roman;Times;serif"/>
          <w:i/>
          <w:color w:val="000000"/>
          <w:sz w:val="20"/>
        </w:rPr>
        <w:t>Tax Considerations Applicable to U.S. Holders - Constructive Dividends on Pre-funded Warrants, Accompanying Warrants or the Placement Agent Warrants.</w:t>
      </w:r>
      <w:r>
        <w:rPr>
          <w:rFonts w:ascii="Times New Roman;Times;serif" w:hAnsi="Times New Roman;Times;serif"/>
          <w:color w:val="000000"/>
          <w:sz w:val="20"/>
        </w:rPr>
        <w:t xml:space="preserve">” Non-U.S. Holders should consult their tax advisors regarding the proper treatment of any adjustments (or absence of adjustments) to the exercise price or shares or other consideration issuable on conversion of the pre-funded warrants, the accompanying warrants or the placement agent warrants.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of dividends on the Securities (including deemed distributions)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deemed distributions) on the Securities paid to the Non-U.S. Holder, regardless of whether such distributions constitute dividends or whether any tax was actually withheld.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proceeds of the sale or other taxable disposition of the Securities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the Securities conducted through a non-U.S. office of a non-U.S. broker generally will not be subject to backup withholding or information reporting.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Withholding Tax on Payments Made to Foreign Accounts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(including deemed dividends) paid on our Securities or (subject to the proposed Treasury Regulations discussed below) gross proceeds from the sale or other disposition of our Securities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referenced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applicable Treasury Regulations and administrative guidance, withholding under FATCA generally applies to payments of dividends (including deemed dividends). Because we may not know the extent to which a distribution is a dividend for U.S. federal income tax purposes at the time it is made, for purposes of these withholding rules we or the applicable withholding agent may treat the entire distribution as a dividend. While withholding under FATCA would have applied also to payments of gross proceeds from the sale or other disposition of our Securities, proposed Treasury Regulations eliminate FATCA withholding on payments of gross proceeds entirely. Taxpayers generally may rely on these proposed Treasury Regulations until final Treasury Regulations are issued.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Prospective investors should consult their tax advisors regarding the potential application of withholding under FATCA to their investment in our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83302x1_424b5_211-legal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sLM"/>
      <w:bookmarkEnd w:id="46"/>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Latham &amp; Watkins LLP will pass upon certain legal matters in connection with this offering and the validity of the securities offered by this prospectus supplement on behalf of Neighborhood Intelligence, Inc. Haynes and Boone, LLP, New York, New York, is acting as counsel to the placement agent in connection with certain legal matters related to this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83302x1_424b5_211-legal_pg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sEXP"/>
      <w:bookmarkEnd w:id="48"/>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Bed Bath &amp; Beyond, Inc. (formerly known as Beyond, Inc.)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Medici Ventures, L.P. as of September 30, 2023 and for the year then ended have been audited by Ernst &amp; Young LLP, independent auditors, as set forth in their report thereon, and are included in the Annual Report (Form 10-K) of Bed Bath &amp; Beyond, Inc., for the year ended December 31, 2025, which is incorporated herein by reference. Such financial statements are incorporated herein by reference in reliance upon such report given on the authority of such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Medici Ventures, L.P. as of September 30, 2024 and for the year then ended, have been audited by Ernst &amp; Young LLP, independent auditors, as set forth in their report thereon, and are included in the Annual Report (Form 10-K) of Bed Bath &amp; Beyond, Inc., for the year ended December 31, 2025, which is incorporated herein by reference. Such financial statements are incorporated herein by reference in reliance upon such report given on the authority of such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tZERO Group, Inc. as of December 31, 2023 and 2022 and for the years then ended have been incorporated by reference herein and in the registration statement in reliance upon the report of Baker Tilly US, LLP, independent auditors, incorporated by reference herein, and upon the authority of said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The Brand House Collective, Inc. as of January 31, 2026 and February 1, 2025 and for the three years in the period ended January 31, 2026 have been audited by Ernst &amp; Young LLP, independent registered public accounting firm, as set forth in their report thereon, and are included in the Current Report on Form 8-K/A of Bed Bath &amp; Beyond, Inc. filed on May 8, 2026, which is incorporated herein by reference. Such financial statements are incorporated herein by reference in reliance upon such report given on the authority of such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The Container Store Group, Inc. as of March 29, 2025 and for the periods from January 26, 2026 through March 29, 2025 (Successor) and March 31, 2024 through January 25, 2025 (Predecessor) have been audited by Ernst &amp; Young LLP, independent auditors, as set forth in their report thereon, and are included in the Current Report on Form 8-K/A of Bed Bath &amp; Beyond, Inc. filed on July 27, 2026, which is incorporated herein by reference. Such financial statements are incorporated herein by reference in reliance upon such report given on the authority of such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audited historical financial statements of The Container Store Group, Inc. included as Exhibit 99.1 of Bed Bath &amp; Beyond, Inc.’s Current Report on Form 8-K/A dated July 27, 2026 have been so incorporated in reliance on the report of PricewaterhouseCoopers LLP, independent auditors, given on the authority of said firm as experts in auditing and accounting.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Cabinets To Go, LLC as of December 31, 2025 and for the year then ended incorporated by reference in this Prospectus and in the Registration Statement have been so incorporated in reliance on the report of BDO USA, P.C., independent auditors, given on the authority of said firm as experts in auditing and accounting.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LumLiq2, LLC as of December 31, 2025 and for the year then ended incorporated by reference in this Prospectus and in the Registration Statement have been so incorporated in reliance on the report of BDO USA, P.C., independent auditors, given on the authority of said firm as experts in auditing and accounting.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Southwind Building Products. LLC as of December 31, 2025 and for the year then ended have been audited by Estes &amp; Walcott, independent auditors, as set forth in their report thereon, and are included in the Current Report on Form 8-K of Bed Bath &amp; Beyond, Inc. filed on August 4, 2026, which is incorporated herein by reference. Such financial statements are incorporated herein by reference in reliance upon such report given on the authority of such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83302x1_424b5_302-cov_pg1"/>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p>
      <w:pPr>
        <w:pStyle w:val="TextBody"/>
        <w:bidi w:val="0"/>
        <w:spacing w:before="285" w:after="283"/>
        <w:jc w:val="center"/>
        <w:rPr>
          <w:color w:val="000000"/>
        </w:rPr>
      </w:pPr>
      <w:r>
        <w:rPr>
          <w:color w:val="000000"/>
        </w:rPr>
        <w:drawing>
          <wp:inline distT="0" distB="0" distL="0" distR="0">
            <wp:extent cx="3495675" cy="914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3495675" cy="914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4"/>
        </w:rPr>
      </w:pPr>
      <w:r>
        <w:rPr>
          <w:rFonts w:ascii="Times New Roman;Times;serif" w:hAnsi="Times New Roman;Times;serif"/>
          <w:b/>
          <w:color w:val="000000"/>
          <w:sz w:val="24"/>
        </w:rPr>
        <w:t>NEIGHBORHOOD INTELLIGENCE, INC.</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$200,000,000</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Common Stock</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Preferred Stock</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Debt Securities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Warrants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Purchase Contracts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that we filed with the SEC, using a “shelf” registration process. By using a shelf registration statement, we may offer and sell up to $200,000,000 in the aggregate of the securities identified above, from time to time in one or more offerings. This prospectus provides you with a general description of the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120" w:after="283"/>
        <w:ind w:left="0" w:right="0" w:firstLine="400"/>
        <w:jc w:val="both"/>
        <w:rPr/>
      </w:pPr>
      <w:r>
        <w:rPr>
          <w:rFonts w:ascii="Times New Roman;Times;serif" w:hAnsi="Times New Roman;Times;serif"/>
          <w:b/>
          <w:color w:val="000000"/>
          <w:sz w:val="20"/>
        </w:rPr>
        <w:t xml:space="preserve">INVESTING IN OUR SECURITIES INVOLVES RISKS. SEE THE “RISK FACTORS” ON PAGE </w:t>
      </w:r>
      <w:hyperlink w:anchor="tRF">
        <w:r>
          <w:rPr>
            <w:rStyle w:val="InternetLink"/>
          </w:rPr>
          <w:t>8</w:t>
        </w:r>
      </w:hyperlink>
      <w:r>
        <w:rPr>
          <w:rFonts w:ascii="Times New Roman;Times;serif" w:hAnsi="Times New Roman;Times;serif"/>
          <w:b/>
          <w:color w:val="000000"/>
          <w:sz w:val="20"/>
        </w:rPr>
        <w:t xml:space="preserve"> OF THIS PROSPECTUS AND ANY SIMILAR SECTION CONTAINED IN THE APPLICABLE PROSPECTUS SUPPLEMENT CONCERNING FACTORS YOU SHOULD CONSIDER BEFORE INVESTING IN OUR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Global Select Market under the symbol “NXH.” On August 17, 2026, the last reported sale price of our common stock on the Nasdaq Global Select Market was $4.28 per share.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197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August 18,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83302x1_424b5_303-toc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7775" w:type="dxa"/>
        <w:jc w:val="left"/>
        <w:tblInd w:w="0" w:type="dxa"/>
        <w:tblLayout w:type="fixed"/>
        <w:tblCellMar>
          <w:top w:w="0" w:type="dxa"/>
          <w:left w:w="0" w:type="dxa"/>
          <w:bottom w:w="0" w:type="dxa"/>
          <w:right w:w="0" w:type="dxa"/>
        </w:tblCellMar>
      </w:tblPr>
      <w:tblGrid>
        <w:gridCol w:w="7250"/>
        <w:gridCol w:w="140"/>
        <w:gridCol w:w="140"/>
        <w:gridCol w:w="245"/>
      </w:tblGrid>
      <w:tr>
        <w:trPr/>
        <w:tc>
          <w:tcPr>
            <w:tcW w:w="7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7250" w:type="dxa"/>
            <w:tcBorders/>
            <w:shd w:fill="CCEEFF" w:val="clear"/>
            <w:vAlign w:val="center"/>
          </w:tcPr>
          <w:p>
            <w:pPr>
              <w:pStyle w:val="TableContents"/>
              <w:bidi w:val="0"/>
              <w:spacing w:before="0" w:after="283"/>
              <w:ind w:left="0" w:right="0" w:hanging="0"/>
              <w:jc w:val="left"/>
              <w:rPr/>
            </w:pPr>
            <w:hyperlink w:anchor="tABT">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ABT">
              <w:r>
                <w:rPr>
                  <w:rStyle w:val="InternetLink"/>
                  <w:rFonts w:ascii="Times New Roman;Times;serif" w:hAnsi="Times New Roman;Times;serif"/>
                  <w:color w:val="000000"/>
                  <w:sz w:val="20"/>
                </w:rPr>
                <w:t>1</w:t>
              </w:r>
            </w:hyperlink>
            <w:hyperlink w:anchor="tABT">
              <w:r>
                <w:rPr>
                  <w:rStyle w:val="InternetLink"/>
                  <w:rFonts w:ascii="Times New Roman;Times;serif" w:hAnsi="Times New Roman;Times;serif"/>
                  <w:color w:val="000000"/>
                  <w:sz w:val="20"/>
                </w:rPr>
                <w:t xml:space="preserve"> </w:t>
              </w:r>
            </w:hyperlink>
          </w:p>
        </w:tc>
      </w:tr>
      <w:tr>
        <w:trPr/>
        <w:tc>
          <w:tcPr>
            <w:tcW w:w="7250" w:type="dxa"/>
            <w:tcBorders/>
            <w:vAlign w:val="center"/>
          </w:tcPr>
          <w:p>
            <w:pPr>
              <w:pStyle w:val="TableContents"/>
              <w:bidi w:val="0"/>
              <w:spacing w:before="0" w:after="283"/>
              <w:ind w:left="0" w:right="0" w:hanging="0"/>
              <w:jc w:val="left"/>
              <w:rPr/>
            </w:pPr>
            <w:hyperlink w:anchor="tTRD">
              <w:r>
                <w:rPr>
                  <w:rStyle w:val="InternetLink"/>
                  <w:rFonts w:ascii="Times New Roman;Times;serif" w:hAnsi="Times New Roman;Times;serif"/>
                  <w:color w:val="000000"/>
                  <w:sz w:val="20"/>
                </w:rPr>
                <w:t>TRADEMARKS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RD">
              <w:r>
                <w:rPr>
                  <w:rStyle w:val="InternetLink"/>
                  <w:rFonts w:ascii="Times New Roman;Times;serif" w:hAnsi="Times New Roman;Times;serif"/>
                  <w:color w:val="000000"/>
                  <w:sz w:val="20"/>
                </w:rPr>
                <w:t>2</w:t>
              </w:r>
            </w:hyperlink>
          </w:p>
        </w:tc>
      </w:tr>
      <w:tr>
        <w:trPr/>
        <w:tc>
          <w:tcPr>
            <w:tcW w:w="725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SPECIAL CAUTIONARY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3</w:t>
              </w:r>
            </w:hyperlink>
          </w:p>
        </w:tc>
      </w:tr>
      <w:tr>
        <w:trPr/>
        <w:tc>
          <w:tcPr>
            <w:tcW w:w="725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 INCORPORATION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5</w:t>
              </w:r>
            </w:hyperlink>
          </w:p>
        </w:tc>
      </w:tr>
      <w:tr>
        <w:trPr/>
        <w:tc>
          <w:tcPr>
            <w:tcW w:w="7250" w:type="dxa"/>
            <w:tcBorders/>
            <w:shd w:fill="CCEEFF" w:val="clear"/>
            <w:vAlign w:val="center"/>
          </w:tcPr>
          <w:p>
            <w:pPr>
              <w:pStyle w:val="TableContents"/>
              <w:bidi w:val="0"/>
              <w:spacing w:before="0" w:after="283"/>
              <w:ind w:left="0" w:right="0" w:hanging="0"/>
              <w:jc w:val="left"/>
              <w:rPr/>
            </w:pPr>
            <w:hyperlink w:anchor="tCOM">
              <w:r>
                <w:rPr>
                  <w:rStyle w:val="InternetLink"/>
                  <w:rFonts w:ascii="Times New Roman;Times;serif" w:hAnsi="Times New Roman;Times;serif"/>
                  <w:color w:val="000000"/>
                  <w:sz w:val="20"/>
                </w:rPr>
                <w:t>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COM">
              <w:r>
                <w:rPr>
                  <w:rStyle w:val="InternetLink"/>
                  <w:rFonts w:ascii="Times New Roman;Times;serif" w:hAnsi="Times New Roman;Times;serif"/>
                  <w:color w:val="000000"/>
                  <w:sz w:val="20"/>
                </w:rPr>
                <w:t>7</w:t>
              </w:r>
            </w:hyperlink>
          </w:p>
        </w:tc>
      </w:tr>
      <w:tr>
        <w:trPr/>
        <w:tc>
          <w:tcPr>
            <w:tcW w:w="725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8</w:t>
              </w:r>
            </w:hyperlink>
          </w:p>
        </w:tc>
      </w:tr>
      <w:tr>
        <w:trPr/>
        <w:tc>
          <w:tcPr>
            <w:tcW w:w="725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9</w:t>
              </w:r>
            </w:hyperlink>
          </w:p>
        </w:tc>
      </w:tr>
      <w:tr>
        <w:trPr/>
        <w:tc>
          <w:tcPr>
            <w:tcW w:w="7250"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10</w:t>
              </w:r>
            </w:hyperlink>
          </w:p>
        </w:tc>
      </w:tr>
      <w:tr>
        <w:trPr/>
        <w:tc>
          <w:tcPr>
            <w:tcW w:w="7250" w:type="dxa"/>
            <w:tcBorders/>
            <w:shd w:fill="CCEEFF" w:val="clear"/>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DESCRIPTION OF DEBT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13</w:t>
              </w:r>
            </w:hyperlink>
          </w:p>
        </w:tc>
      </w:tr>
      <w:tr>
        <w:trPr/>
        <w:tc>
          <w:tcPr>
            <w:tcW w:w="7250" w:type="dxa"/>
            <w:tcBorders/>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DESCRIPTION OF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20</w:t>
              </w:r>
            </w:hyperlink>
          </w:p>
        </w:tc>
      </w:tr>
      <w:tr>
        <w:trPr/>
        <w:tc>
          <w:tcPr>
            <w:tcW w:w="7250" w:type="dxa"/>
            <w:tcBorders/>
            <w:shd w:fill="CCEEFF" w:val="clear"/>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DESCRIPTION OF PURCHASE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21</w:t>
              </w:r>
            </w:hyperlink>
          </w:p>
        </w:tc>
      </w:tr>
      <w:tr>
        <w:trPr/>
        <w:tc>
          <w:tcPr>
            <w:tcW w:w="7250" w:type="dxa"/>
            <w:tcBorders/>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DESCRIPTION OF UNITS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22</w:t>
              </w:r>
            </w:hyperlink>
          </w:p>
        </w:tc>
      </w:tr>
      <w:tr>
        <w:trPr/>
        <w:tc>
          <w:tcPr>
            <w:tcW w:w="7250" w:type="dxa"/>
            <w:tcBorders/>
            <w:shd w:fill="CCEEFF" w:val="clear"/>
            <w:vAlign w:val="center"/>
          </w:tcPr>
          <w:p>
            <w:pPr>
              <w:pStyle w:val="TableContents"/>
              <w:bidi w:val="0"/>
              <w:spacing w:before="0" w:after="283"/>
              <w:ind w:left="0" w:right="0" w:hanging="0"/>
              <w:jc w:val="left"/>
              <w:rPr/>
            </w:pPr>
            <w:hyperlink w:anchor="tGLO">
              <w:r>
                <w:rPr>
                  <w:rStyle w:val="InternetLink"/>
                  <w:rFonts w:ascii="Times New Roman;Times;serif" w:hAnsi="Times New Roman;Times;serif"/>
                  <w:color w:val="000000"/>
                  <w:sz w:val="20"/>
                </w:rPr>
                <w:t>GLOBAL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GLO">
              <w:r>
                <w:rPr>
                  <w:rStyle w:val="InternetLink"/>
                  <w:rFonts w:ascii="Times New Roman;Times;serif" w:hAnsi="Times New Roman;Times;serif"/>
                  <w:color w:val="000000"/>
                  <w:sz w:val="20"/>
                </w:rPr>
                <w:t>23</w:t>
              </w:r>
            </w:hyperlink>
          </w:p>
        </w:tc>
      </w:tr>
      <w:tr>
        <w:trPr/>
        <w:tc>
          <w:tcPr>
            <w:tcW w:w="7250"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26</w:t>
              </w:r>
            </w:hyperlink>
          </w:p>
        </w:tc>
      </w:tr>
      <w:tr>
        <w:trPr/>
        <w:tc>
          <w:tcPr>
            <w:tcW w:w="725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28</w:t>
              </w:r>
            </w:hyperlink>
          </w:p>
        </w:tc>
      </w:tr>
      <w:tr>
        <w:trPr/>
        <w:tc>
          <w:tcPr>
            <w:tcW w:w="725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28</w:t>
              </w:r>
            </w:hyperlink>
          </w:p>
        </w:tc>
      </w:tr>
      <w:tr>
        <w:trPr/>
        <w:tc>
          <w:tcPr>
            <w:tcW w:w="7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83302x1_424b5_304-about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2" w:name="tABT"/>
      <w:bookmarkEnd w:id="52"/>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we refer to “Neighborhood Intelligence,” “we,” “our,” “us” and the “Company” in this prospectus, we mean Neighborhood Intelligence, Inc. and its controlled subsidiaries, unless otherwise specified. When we refer to “you,” we mean the potential holders of the applicable series of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83302x1_424b5_304-about_pg2"/>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TRD"/>
      <w:bookmarkEnd w:id="54"/>
      <w:r>
        <w:rPr>
          <w:rFonts w:ascii="Times New Roman;Times;serif" w:hAnsi="Times New Roman;Times;serif"/>
          <w:b/>
          <w:color w:val="000000"/>
          <w:sz w:val="20"/>
        </w:rPr>
        <w:t xml:space="preserve">TRADEMARKS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includes, or incorporates by reference, our trademarks, service marks, brand names and trade names, including, without limitation, Neighborhood Intelligence, Bed Bath &amp; Beyond®, Overstock.com®, Beyond+, welcome rewards, buybuy BABY®, Kirkland’s and Kirkland’s Home, which are our property and are protected under applicable intellectual property laws. This prospectus also contains, or incorporates by reference, trademarks, service marks, brand names and trade names of other companies, which are the property of their respective owners. Any use or display of other parties’ trademarks, service marks, brand names or trade names in this prospectus, or any documents incorporated by reference herein, does not imply, and such use or display should not be construed to imply, any affiliation with, or endorsement of or by, such third parties. Solely for convenience, trademarks, service marks, brand names, and trade names referred to in this prospectus, or any documents incorporated by reference herein, may appear with or without the ®, SM or TM symbols, but use (or omission) of such symbols is not intended to limit in any way our rights, or the rights of the applicable owner or any applicable licensor, in and to these trademarks, service marks, brand names, and trade names.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83302x1_424b5_305-fls_pg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6" w:name="tFLS"/>
      <w:bookmarkEnd w:id="56"/>
      <w:r>
        <w:rPr>
          <w:rFonts w:ascii="Times New Roman;Times;serif" w:hAnsi="Times New Roman;Times;serif"/>
          <w:b/>
          <w:color w:val="000000"/>
          <w:sz w:val="20"/>
        </w:rPr>
        <w:t xml:space="preserve">SPECIAL CAUTIONARY NOTE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and the documents incorporated herein by reference, and our other public documents and statements our officers and representatives may make from time to time, contain forward-looking statements within the meaning of the federal securities laws. These statements are intended to be covered by the safe harbor provisions of these laws. You can find many of these statements by looking for words such as “may,” “would,” “could,” “should,” “will,” “expect,” “anticipate,” “predict,” “project,” “potential,” “continue,” “contemplate,” “seek,” “assume,” “believe,” “intend,” “plan,” “forecast,” “goal,” “estimate,” or other similar terms or expressions or the negative of these terms or expressions, although not all forward-looking statements contain these identifying terms or expressions.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involve known and unknown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uncertainties, and other important factors that are difficult to predict, and that actual results and outcomes may be materially different from the results, performance, achievements, or outcomes expressed or implied by any of our forward-looking statements for a variety of reasons, including among others: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depend on third-party companies to perform functions critical to our business, and any failure or increased cost on their part could have a material adverse effect on our business.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face intense competition and may not be able to compete successfully against existing or future competitors.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not timely identify or effectively respond to consumer needs, expectations or trends, which could adversely affect our relationship with our customers, the demand for our products and services, and our market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business depends on effective marketing, including marketing via email, search engine marketing, influencer marketing, and social media marketing. Our competitors have and may continue to cause us to increase our marketing costs and decrease certain other types of marketing, and have and may continue to outspend us on marketing or be more efficient in their spend.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Economic factors, including recessions, other economic downturns, inflation, our exposure to the U.S. housing market, and decreases in consumer spending, have affected and could continue to adversely affect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Tariffs, bans, or other measures or events that increase the effective price of products or limit our ability to access products we or our suppliers, fulfillment partners, or other third parties that import or export could have a material adverse effect on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changing business model and use of the Neighborhood Intelligence brand, Bed Bath &amp; Beyond brand, Overstock brand, buybuy BABY brand, Kirkland’s and Kirkland’s Home brand, Beyond brand, and other brands of ours, could negatively impact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changing job market, the changes in our leadership team, the change in our compensation approach, changing job structures, or any inability to attract, retain and engage key personnel could affect our ability to successfully grow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rely upon paid and natural search engines to rank our product offerings, and our financial results may suffer if we are unable to maintain our prior rankings in natural searches.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are not profitable and/or are unable to generate sufficient positive cash flow from operations, our ability to continue in business will depend on our ability to raise additional capital, obtain financing or monetize significant assets, and we may be unable to do so.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business depends on the Internet, our infrastructure and transaction-processing systems, and catastrophic events could adversely affect our operating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ever-evolving federal, state, and foreign laws and other requirements relating to the handling of information about individuals necessitates significant expenditure and resources, and any failure by us, our vendors or our business partners to comply may result in significant liability, negative publicity, and/or an erosion of trust, which could materially adversely affect our business, results of operations, and financial condition.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83302x1_424b5_305-fls_pg2"/>
        <w:bookmarkEnd w:id="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or our third-party providers experience cyberattacks or data security incidents, there may be damage to our brand and reputation, material financial penalties, and legal liability, which would materially adversely affect our business, results of operations, and financial condition.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Failure to comply with, or changes in, laws, regulations and enforcement activities may adversely affect the products, services, and markets in which we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we are subject to various legal proceedings which could adversely affect our business, financial condition or results of operations.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Damage to our reputation or brand image could adversely affect our sales and results of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do not successfully optimize and operate our fulfillment center or customer service operations, our business could be harmed.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fail to effectively utilize technological advancements, including in artificial intelligence, our business and financial performance could be negatively impacted. </w:t>
            </w:r>
          </w:p>
        </w:tc>
      </w:tr>
    </w:tbl>
    <w:tbl>
      <w:tblPr>
        <w:tblW w:w="8245" w:type="dxa"/>
        <w:jc w:val="left"/>
        <w:tblInd w:w="0" w:type="dxa"/>
        <w:tblLayout w:type="fixed"/>
        <w:tblCellMar>
          <w:top w:w="0" w:type="dxa"/>
          <w:left w:w="0" w:type="dxa"/>
          <w:bottom w:w="0" w:type="dxa"/>
          <w:right w:w="0" w:type="dxa"/>
        </w:tblCellMar>
      </w:tblPr>
      <w:tblGrid>
        <w:gridCol w:w="110"/>
        <w:gridCol w:w="8135"/>
      </w:tblGrid>
      <w:tr>
        <w:trPr/>
        <w:tc>
          <w:tcPr>
            <w:tcW w:w="11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 conflict could negatively impact our business, results of operations, and financial condition.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safety and quality concerns could have a material adverse impact on our revenue and profitability.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depend on our suppliers’ and fulfillment partners’ representations regarding product safety, content and quality, product compliance with various laws and regulations, including registration and/or reporting obligations, and for proper labeling of products. </w:t>
            </w:r>
          </w:p>
        </w:tc>
      </w:tr>
    </w:tbl>
    <w:tbl>
      <w:tblPr>
        <w:tblW w:w="7135" w:type="dxa"/>
        <w:jc w:val="left"/>
        <w:tblInd w:w="0" w:type="dxa"/>
        <w:tblLayout w:type="fixed"/>
        <w:tblCellMar>
          <w:top w:w="0" w:type="dxa"/>
          <w:left w:w="0" w:type="dxa"/>
          <w:bottom w:w="0" w:type="dxa"/>
          <w:right w:w="0" w:type="dxa"/>
        </w:tblCellMar>
      </w:tblPr>
      <w:tblGrid>
        <w:gridCol w:w="110"/>
        <w:gridCol w:w="7025"/>
      </w:tblGrid>
      <w:tr>
        <w:trPr/>
        <w:tc>
          <w:tcPr>
            <w:tcW w:w="11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have an evolving business model, which increases the complexity of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Exercising the warrants to purchase our common stock (the “Warrants”) is a risky investment and those who exercise their Warrants may not be able to recover the value of their investment in the common stock received upon such exercise. Warrant holders could sustain a total loss of the exercise price of any Warrants that they exercise.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Investment in new business strategies, acquisitions, dispositions, partnerships, or other transactions could disrupt our ongoing business, present risks not originally contemplated and materially adversely affect our business, reputation, results of operations and financial condition.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Regulatory changes or actions may alter the nature of an investment in us or restrict the use of digital assets, including tokens or blockchain technology in a manner that adversely affects our business, prospects,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mergers with Fathom Holdings, Inc. and F9 Brands, Inc. may not be completed and our merger agreements with those entities may be terminated in accordance with their terms.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Combining our business with those of The Brand House Collective, Inc. (“TBHC”) and The Container Store Holdings, LLC (“TCS”) may be more difficult, costly or time-consuming than expected and the combined company may fail to realize the anticipated benefits of the mergers with TBHC and TCS, which may adversely affect the combined company’s business results and negatively affect the value of the combined company’s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all forward-looking statements, you should specifically consider the risks outlined above and in this prospectus and the documents incorporated by reference herein, especially under the headings “Special Cautionary Note Regarding Forward-Looking Statements,” “Risk Factors,” “Legal Proceedings,” and “Management’s Discussion and Analysis of Financial Condition and Results of Operations,” and similar headings. These factors may cause our actual results and outcomes to differ materially from those contemplated by any forward-looking statement. Although we believe that our assumptions and expectations reflected in the forward-looking statements are reasonable, we cannot guarantee or offer any assurance of future results, levels of activity, performance or achievements or other future events. Our forward-looking statements contained in this prospectus and the documents incorporated by reference herein speak only as of the date of this prospectus and the documents incorporated by reference herein, respectively, and, except as required by law, we undertake no obligation to update forward-looking statements to reflect events or circumstances occurring after the date of this prospectus or any changes in our expectations or any change in any events, conditions or circumstances on which any of our forward-looking statements are based.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83302x1_424b5_306-incorp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WYC"/>
      <w:bookmarkEnd w:id="59"/>
      <w:r>
        <w:rPr>
          <w:rFonts w:ascii="Times New Roman;Times;serif" w:hAnsi="Times New Roman;Times;serif"/>
          <w:b/>
          <w:color w:val="000000"/>
          <w:sz w:val="20"/>
        </w:rPr>
        <w:t xml:space="preserve">WHERE YOU CAN FIND MORE INFORMATION; INCORPORATION BY REFERENCE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Available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https://www.sec.gov.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web site address is https://beyond.com, and our reports, proxy statements and other information we have incorporated by reference in this prospectus and filed electronically with the SEC are available on our Investor Relations website at https://investors.beyond.com. The information on our web site, however, is not, and should not be deemed to be, a part of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and any accompanying prospectus supplement incorporate by reference the documents set forth below that have previously been filed with the SEC: </w:t>
      </w:r>
    </w:p>
    <w:tbl>
      <w:tblPr>
        <w:tblW w:w="9415" w:type="dxa"/>
        <w:jc w:val="left"/>
        <w:tblInd w:w="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10-K for the year ended December 31, 2025, filed with the SEC on </w:t>
            </w:r>
            <w:hyperlink r:id="rId32">
              <w:r>
                <w:rPr>
                  <w:rStyle w:val="InternetLink"/>
                  <w:rFonts w:ascii="Times New Roman;Times;serif" w:hAnsi="Times New Roman;Times;serif"/>
                  <w:color w:val="000080"/>
                  <w:sz w:val="20"/>
                </w:rPr>
                <w:t>February 24,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information specifically incorporated by reference into our Annual Report on Form 10-K for the year ended December 31, 2025 from our Definitive Proxy Statement on Schedule 14A, filed with the SEC on </w:t>
            </w:r>
            <w:hyperlink r:id="rId33">
              <w:r>
                <w:rPr>
                  <w:rStyle w:val="InternetLink"/>
                  <w:rFonts w:ascii="Times New Roman;Times;serif" w:hAnsi="Times New Roman;Times;serif"/>
                  <w:color w:val="000080"/>
                  <w:sz w:val="20"/>
                </w:rPr>
                <w:t>March 27,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Quarterly Reports on Form 10-Q for the quarterly periods ended March 31, 2026 and June 30, 2026, filed with the SEC on </w:t>
            </w:r>
            <w:hyperlink r:id="rId34">
              <w:r>
                <w:rPr>
                  <w:rStyle w:val="InternetLink"/>
                  <w:rFonts w:ascii="Times New Roman;Times;serif" w:hAnsi="Times New Roman;Times;serif"/>
                  <w:color w:val="000080"/>
                  <w:sz w:val="20"/>
                </w:rPr>
                <w:t>April 27, 2026</w:t>
              </w:r>
            </w:hyperlink>
            <w:r>
              <w:rPr>
                <w:rFonts w:ascii="Times New Roman;Times;serif" w:hAnsi="Times New Roman;Times;serif"/>
                <w:color w:val="000000"/>
                <w:sz w:val="20"/>
              </w:rPr>
              <w:t xml:space="preserve"> and </w:t>
            </w:r>
            <w:hyperlink r:id="rId35">
              <w:r>
                <w:rPr>
                  <w:rStyle w:val="InternetLink"/>
                  <w:rFonts w:ascii="Times New Roman;Times;serif" w:hAnsi="Times New Roman;Times;serif"/>
                  <w:color w:val="000080"/>
                  <w:sz w:val="20"/>
                </w:rPr>
                <w:t>August 4, 2026</w:t>
              </w:r>
            </w:hyperlink>
            <w:r>
              <w:rPr>
                <w:rFonts w:ascii="Times New Roman;Times;serif" w:hAnsi="Times New Roman;Times;serif"/>
                <w:color w:val="000000"/>
                <w:sz w:val="20"/>
              </w:rPr>
              <w:t xml:space="preserve">, respectively.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Current Reports on Form 8-K and Form 8-K/A (as applicable) filed with the SEC on </w:t>
            </w:r>
            <w:hyperlink r:id="rId36">
              <w:r>
                <w:rPr>
                  <w:rStyle w:val="InternetLink"/>
                  <w:rFonts w:ascii="Times New Roman;Times;serif" w:hAnsi="Times New Roman;Times;serif"/>
                  <w:color w:val="000080"/>
                  <w:sz w:val="20"/>
                </w:rPr>
                <w:t>January 5, 2026</w:t>
              </w:r>
            </w:hyperlink>
            <w:r>
              <w:rPr>
                <w:rFonts w:ascii="Times New Roman;Times;serif" w:hAnsi="Times New Roman;Times;serif"/>
                <w:color w:val="000000"/>
                <w:sz w:val="20"/>
              </w:rPr>
              <w:t xml:space="preserve">, </w:t>
            </w:r>
            <w:hyperlink r:id="rId37">
              <w:r>
                <w:rPr>
                  <w:rStyle w:val="InternetLink"/>
                  <w:rFonts w:ascii="Times New Roman;Times;serif" w:hAnsi="Times New Roman;Times;serif"/>
                  <w:color w:val="000080"/>
                  <w:sz w:val="20"/>
                </w:rPr>
                <w:t>January 9, 2026</w:t>
              </w:r>
            </w:hyperlink>
            <w:r>
              <w:rPr>
                <w:rFonts w:ascii="Times New Roman;Times;serif" w:hAnsi="Times New Roman;Times;serif"/>
                <w:color w:val="000000"/>
                <w:sz w:val="20"/>
              </w:rPr>
              <w:t xml:space="preserve">, </w:t>
            </w:r>
            <w:hyperlink r:id="rId38">
              <w:r>
                <w:rPr>
                  <w:rStyle w:val="InternetLink"/>
                  <w:rFonts w:ascii="Times New Roman;Times;serif" w:hAnsi="Times New Roman;Times;serif"/>
                  <w:color w:val="000080"/>
                  <w:sz w:val="20"/>
                </w:rPr>
                <w:t>January 23, 2026</w:t>
              </w:r>
            </w:hyperlink>
            <w:r>
              <w:rPr>
                <w:rFonts w:ascii="Times New Roman;Times;serif" w:hAnsi="Times New Roman;Times;serif"/>
                <w:color w:val="000000"/>
                <w:sz w:val="20"/>
              </w:rPr>
              <w:t xml:space="preserve">, April 2, 2026 (including the </w:t>
            </w:r>
            <w:hyperlink r:id="rId39">
              <w:r>
                <w:rPr>
                  <w:rStyle w:val="InternetLink"/>
                  <w:rFonts w:ascii="Times New Roman;Times;serif" w:hAnsi="Times New Roman;Times;serif"/>
                  <w:color w:val="000080"/>
                  <w:sz w:val="20"/>
                </w:rPr>
                <w:t>first</w:t>
              </w:r>
            </w:hyperlink>
            <w:r>
              <w:rPr>
                <w:rFonts w:ascii="Times New Roman;Times;serif" w:hAnsi="Times New Roman;Times;serif"/>
                <w:color w:val="000000"/>
                <w:sz w:val="20"/>
              </w:rPr>
              <w:t xml:space="preserve"> and </w:t>
            </w:r>
            <w:hyperlink r:id="rId40">
              <w:r>
                <w:rPr>
                  <w:rStyle w:val="InternetLink"/>
                  <w:rFonts w:ascii="Times New Roman;Times;serif" w:hAnsi="Times New Roman;Times;serif"/>
                  <w:color w:val="000080"/>
                  <w:sz w:val="20"/>
                </w:rPr>
                <w:t>second</w:t>
              </w:r>
            </w:hyperlink>
            <w:r>
              <w:rPr>
                <w:rFonts w:ascii="Times New Roman;Times;serif" w:hAnsi="Times New Roman;Times;serif"/>
                <w:color w:val="000000"/>
                <w:sz w:val="20"/>
              </w:rPr>
              <w:t xml:space="preserve"> reports filed on such date), </w:t>
            </w:r>
            <w:hyperlink r:id="rId41">
              <w:r>
                <w:rPr>
                  <w:rStyle w:val="InternetLink"/>
                  <w:rFonts w:ascii="Times New Roman;Times;serif" w:hAnsi="Times New Roman;Times;serif"/>
                  <w:color w:val="000080"/>
                  <w:sz w:val="20"/>
                </w:rPr>
                <w:t>May 8, 2026</w:t>
              </w:r>
            </w:hyperlink>
            <w:r>
              <w:rPr>
                <w:rFonts w:ascii="Times New Roman;Times;serif" w:hAnsi="Times New Roman;Times;serif"/>
                <w:color w:val="000000"/>
                <w:sz w:val="20"/>
              </w:rPr>
              <w:t xml:space="preserve">, </w:t>
            </w:r>
            <w:hyperlink r:id="rId42">
              <w:r>
                <w:rPr>
                  <w:rStyle w:val="InternetLink"/>
                  <w:rFonts w:ascii="Times New Roman;Times;serif" w:hAnsi="Times New Roman;Times;serif"/>
                  <w:color w:val="000080"/>
                  <w:sz w:val="20"/>
                </w:rPr>
                <w:t>May 19, 2026</w:t>
              </w:r>
            </w:hyperlink>
            <w:r>
              <w:rPr>
                <w:rFonts w:ascii="Times New Roman;Times;serif" w:hAnsi="Times New Roman;Times;serif"/>
                <w:color w:val="000000"/>
                <w:sz w:val="20"/>
              </w:rPr>
              <w:t xml:space="preserve">, </w:t>
            </w:r>
            <w:hyperlink r:id="rId43">
              <w:r>
                <w:rPr>
                  <w:rStyle w:val="InternetLink"/>
                  <w:rFonts w:ascii="Times New Roman;Times;serif" w:hAnsi="Times New Roman;Times;serif"/>
                  <w:color w:val="000080"/>
                  <w:sz w:val="20"/>
                </w:rPr>
                <w:t>May 20, 2026</w:t>
              </w:r>
            </w:hyperlink>
            <w:r>
              <w:rPr>
                <w:rFonts w:ascii="Times New Roman;Times;serif" w:hAnsi="Times New Roman;Times;serif"/>
                <w:color w:val="000000"/>
                <w:sz w:val="20"/>
              </w:rPr>
              <w:t xml:space="preserve">, </w:t>
            </w:r>
            <w:hyperlink r:id="rId44">
              <w:r>
                <w:rPr>
                  <w:rStyle w:val="InternetLink"/>
                  <w:rFonts w:ascii="Times New Roman;Times;serif" w:hAnsi="Times New Roman;Times;serif"/>
                  <w:color w:val="000080"/>
                  <w:sz w:val="20"/>
                </w:rPr>
                <w:t>June 17, 2026</w:t>
              </w:r>
            </w:hyperlink>
            <w:r>
              <w:rPr>
                <w:rFonts w:ascii="Times New Roman;Times;serif" w:hAnsi="Times New Roman;Times;serif"/>
                <w:color w:val="000000"/>
                <w:sz w:val="20"/>
              </w:rPr>
              <w:t xml:space="preserve">, </w:t>
            </w:r>
            <w:hyperlink r:id="rId45">
              <w:r>
                <w:rPr>
                  <w:rStyle w:val="InternetLink"/>
                  <w:rFonts w:ascii="Times New Roman;Times;serif" w:hAnsi="Times New Roman;Times;serif"/>
                  <w:color w:val="000080"/>
                  <w:sz w:val="20"/>
                </w:rPr>
                <w:t>July 1, 2026</w:t>
              </w:r>
            </w:hyperlink>
            <w:r>
              <w:rPr>
                <w:rFonts w:ascii="Times New Roman;Times;serif" w:hAnsi="Times New Roman;Times;serif"/>
                <w:color w:val="000000"/>
                <w:sz w:val="20"/>
              </w:rPr>
              <w:t xml:space="preserve">, </w:t>
            </w:r>
            <w:hyperlink r:id="rId46">
              <w:r>
                <w:rPr>
                  <w:rStyle w:val="InternetLink"/>
                  <w:rFonts w:ascii="Times New Roman;Times;serif" w:hAnsi="Times New Roman;Times;serif"/>
                  <w:color w:val="000080"/>
                  <w:sz w:val="20"/>
                </w:rPr>
                <w:t>July 9, 2026</w:t>
              </w:r>
            </w:hyperlink>
            <w:r>
              <w:rPr>
                <w:rFonts w:ascii="Times New Roman;Times;serif" w:hAnsi="Times New Roman;Times;serif"/>
                <w:color w:val="000000"/>
                <w:sz w:val="20"/>
              </w:rPr>
              <w:t xml:space="preserve">, July 27, 2026 (including the </w:t>
            </w:r>
            <w:hyperlink r:id="rId47">
              <w:r>
                <w:rPr>
                  <w:rStyle w:val="InternetLink"/>
                  <w:rFonts w:ascii="Times New Roman;Times;serif" w:hAnsi="Times New Roman;Times;serif"/>
                  <w:color w:val="000080"/>
                  <w:sz w:val="20"/>
                </w:rPr>
                <w:t>first</w:t>
              </w:r>
            </w:hyperlink>
            <w:r>
              <w:rPr>
                <w:rFonts w:ascii="Times New Roman;Times;serif" w:hAnsi="Times New Roman;Times;serif"/>
                <w:color w:val="000000"/>
                <w:sz w:val="20"/>
              </w:rPr>
              <w:t xml:space="preserve"> and </w:t>
            </w:r>
            <w:hyperlink r:id="rId48">
              <w:r>
                <w:rPr>
                  <w:rStyle w:val="InternetLink"/>
                  <w:rFonts w:ascii="Times New Roman;Times;serif" w:hAnsi="Times New Roman;Times;serif"/>
                  <w:color w:val="000080"/>
                  <w:sz w:val="20"/>
                </w:rPr>
                <w:t>second</w:t>
              </w:r>
            </w:hyperlink>
            <w:r>
              <w:rPr>
                <w:rFonts w:ascii="Times New Roman;Times;serif" w:hAnsi="Times New Roman;Times;serif"/>
                <w:color w:val="000000"/>
                <w:sz w:val="20"/>
              </w:rPr>
              <w:t xml:space="preserve"> reports filed on such date), </w:t>
            </w:r>
            <w:hyperlink r:id="rId49">
              <w:r>
                <w:rPr>
                  <w:rStyle w:val="InternetLink"/>
                  <w:rFonts w:ascii="Times New Roman;Times;serif" w:hAnsi="Times New Roman;Times;serif"/>
                  <w:color w:val="000080"/>
                  <w:sz w:val="20"/>
                </w:rPr>
                <w:t>August 4, 2026</w:t>
              </w:r>
            </w:hyperlink>
            <w:r>
              <w:rPr>
                <w:rFonts w:ascii="Times New Roman;Times;serif" w:hAnsi="Times New Roman;Times;serif"/>
                <w:color w:val="000000"/>
                <w:sz w:val="20"/>
              </w:rPr>
              <w:t xml:space="preserve">, August 5, 2026 (including the </w:t>
            </w:r>
            <w:hyperlink r:id="rId50">
              <w:r>
                <w:rPr>
                  <w:rStyle w:val="InternetLink"/>
                  <w:rFonts w:ascii="Times New Roman;Times;serif" w:hAnsi="Times New Roman;Times;serif"/>
                  <w:color w:val="000080"/>
                  <w:sz w:val="20"/>
                </w:rPr>
                <w:t>first</w:t>
              </w:r>
            </w:hyperlink>
            <w:r>
              <w:rPr>
                <w:rFonts w:ascii="Times New Roman;Times;serif" w:hAnsi="Times New Roman;Times;serif"/>
                <w:color w:val="000000"/>
                <w:sz w:val="20"/>
              </w:rPr>
              <w:t xml:space="preserve">, </w:t>
            </w:r>
            <w:hyperlink r:id="rId51">
              <w:r>
                <w:rPr>
                  <w:rStyle w:val="InternetLink"/>
                  <w:rFonts w:ascii="Times New Roman;Times;serif" w:hAnsi="Times New Roman;Times;serif"/>
                  <w:color w:val="000080"/>
                  <w:sz w:val="20"/>
                </w:rPr>
                <w:t>second</w:t>
              </w:r>
            </w:hyperlink>
            <w:r>
              <w:rPr>
                <w:rFonts w:ascii="Times New Roman;Times;serif" w:hAnsi="Times New Roman;Times;serif"/>
                <w:color w:val="000000"/>
                <w:sz w:val="20"/>
              </w:rPr>
              <w:t xml:space="preserve"> and </w:t>
            </w:r>
            <w:hyperlink r:id="rId52">
              <w:r>
                <w:rPr>
                  <w:rStyle w:val="InternetLink"/>
                  <w:rFonts w:ascii="Times New Roman;Times;serif" w:hAnsi="Times New Roman;Times;serif"/>
                  <w:color w:val="000080"/>
                  <w:sz w:val="20"/>
                </w:rPr>
                <w:t>third</w:t>
              </w:r>
            </w:hyperlink>
            <w:r>
              <w:rPr>
                <w:rFonts w:ascii="Times New Roman;Times;serif" w:hAnsi="Times New Roman;Times;serif"/>
                <w:color w:val="000000"/>
                <w:sz w:val="20"/>
              </w:rPr>
              <w:t xml:space="preserve"> reports filed on such date), </w:t>
            </w:r>
            <w:hyperlink r:id="rId53">
              <w:r>
                <w:rPr>
                  <w:rStyle w:val="InternetLink"/>
                  <w:rFonts w:ascii="Times New Roman;Times;serif" w:hAnsi="Times New Roman;Times;serif"/>
                  <w:color w:val="000080"/>
                  <w:sz w:val="20"/>
                </w:rPr>
                <w:t>August 13, 2026</w:t>
              </w:r>
            </w:hyperlink>
            <w:r>
              <w:rPr>
                <w:rFonts w:ascii="Times New Roman;Times;serif" w:hAnsi="Times New Roman;Times;serif"/>
                <w:color w:val="000000"/>
                <w:sz w:val="20"/>
              </w:rPr>
              <w:t xml:space="preserve"> and </w:t>
            </w:r>
            <w:hyperlink r:id="rId54">
              <w:r>
                <w:rPr>
                  <w:rStyle w:val="InternetLink"/>
                  <w:rFonts w:ascii="Times New Roman;Times;serif" w:hAnsi="Times New Roman;Times;serif"/>
                  <w:color w:val="000080"/>
                  <w:sz w:val="20"/>
                </w:rPr>
                <w:t>August 14,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common stock contained in the Registration Statement on </w:t>
            </w:r>
            <w:hyperlink r:id="rId55">
              <w:r>
                <w:rPr>
                  <w:rStyle w:val="InternetLink"/>
                  <w:rFonts w:ascii="Times New Roman;Times;serif" w:hAnsi="Times New Roman;Times;serif"/>
                  <w:color w:val="000080"/>
                  <w:sz w:val="20"/>
                </w:rPr>
                <w:t>Form 8-A12B</w:t>
              </w:r>
            </w:hyperlink>
            <w:r>
              <w:rPr>
                <w:rFonts w:ascii="Times New Roman;Times;serif" w:hAnsi="Times New Roman;Times;serif"/>
                <w:color w:val="000000"/>
                <w:sz w:val="20"/>
              </w:rPr>
              <w:t xml:space="preserve">, filed with the SEC on </w:t>
            </w:r>
            <w:hyperlink r:id="rId56">
              <w:r>
                <w:rPr>
                  <w:rStyle w:val="InternetLink"/>
                  <w:rFonts w:ascii="Times New Roman;Times;serif" w:hAnsi="Times New Roman;Times;serif"/>
                  <w:color w:val="000080"/>
                  <w:sz w:val="20"/>
                </w:rPr>
                <w:t>August 14, 2026</w:t>
              </w:r>
            </w:hyperlink>
            <w:r>
              <w:rPr>
                <w:rFonts w:ascii="Times New Roman;Times;serif" w:hAnsi="Times New Roman;Times;serif"/>
                <w:color w:val="000000"/>
                <w:sz w:val="20"/>
              </w:rPr>
              <w:t xml:space="preserve">, and any amendment or report filed with the SEC for the purpose of updating such description.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83302x1_424b5_306-incorp_pg2"/>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request a free copy of any of the documents incorporated by reference in this prospectus by writing or telephoning us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NEIGHBORHOOD INTELLIGENCE,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433 W. ASCENSION WAY, 3RD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MURRAY, UTAH 84123</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ATTN: INVESTOR RELATIONS</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(801) 947-3100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83302x1_424b5_307-company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COM"/>
      <w:bookmarkEnd w:id="62"/>
      <w:r>
        <w:rPr>
          <w:rFonts w:ascii="Times New Roman;Times;serif" w:hAnsi="Times New Roman;Times;serif"/>
          <w:b/>
          <w:color w:val="000000"/>
          <w:sz w:val="20"/>
        </w:rPr>
        <w:t xml:space="preserve">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an omni-channel-focused retailer with an affinity model that owns or has ownership interests in various brands, offering a comprehensive array of products and services that enable our customers to enhance everyday life through quality, style, and value. In addition, we also offer an increasing number of add-on services across our platforms, including warranties, shipping insurance, and installation services. Our customer engagement and retention are bolstered by our welcome rewards+ membership program, enhancing the overall value proposition for our customers. We currently own Bed Bath &amp; Beyond, Overstock, buybuy BABY, the Kirkland’s and Kirkland’s Home brands, SFV Services, and now The Container Store, among other brands.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company, based in Murray, Utah, was founded as a Utah limited liability company in 1997, reorganized as a C corporation in the State of Utah in 1998, and reincorporated in Delaware in 2002. We launched our initial website in March 1999. In November 2023, we changed our corporate name from Overstock.com, Inc. to Beyond, Inc., and transferred the principal listing of our common stock from the Nasdaq Global Market to the New York Stock Exchange. In August 2025, we changed our corporate name from Beyond, Inc. to Bed Bath &amp; Beyond, Inc. and changed our ticker symbol from “BYON” to “BBBY”. Our common stock ceased trading under the ticker symbol “BYON” at the close of market August 28, 2025, and on August 29, 2025, our common stock began trading under the ticker symbol “BBBY” on the New York Stock Exchange. On August 14, 2026, we changed our corporate name to Neighborhood Intelligence, Inc. Our common stock ceased trading on the New York Stock Exchange at the close of market on such date, and on August 17, 2026, our common stock began trading on the Nasdaq Global Select Market under the ticker symbol “NXH.” We will not distinguish between our prior corporate names and our current corporate name and will refer to our current corporate name throughout this prospectus and any accompanying prospectus supplement.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principal executive offices are located at 433 W. Ascension Way, 3rd Floor, Murray, Utah 84123, and our telephone number is (801) 947-3100.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83302x1_424b5_308-risk_pg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4" w:name="tRF"/>
      <w:bookmarkEnd w:id="64"/>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“Special Cautionary Note Regarding Forward-Looking Statements” included in our most recent Annual Report on Form 10-K and any subsequent Quarterly Reports on Form 10-Q or Current Reports on Form 8-K.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83302x1_424b5_309-use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UOP"/>
      <w:bookmarkEnd w:id="66"/>
      <w:r>
        <w:rPr>
          <w:rFonts w:ascii="Times New Roman;Times;serif" w:hAnsi="Times New Roman;Times;serif"/>
          <w:b/>
          <w:color w:val="000000"/>
          <w:sz w:val="20"/>
        </w:rPr>
        <w:t xml:space="preserve">USE OF PROCEEDS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use the net proceeds from the sale of the securities as set forth in the applicable prospectus supplement. Anyremaining proceeds will be used for working capital and general corporate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83302x1_424b5_310-desc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DCS"/>
      <w:bookmarkEnd w:id="68"/>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information describes our common stock, par value $0.0001 per share, as well as certain provisions of our amended and restated certificate of incorporation and amended and restated bylaws. This description is only a summary. For a complete statement of the terms and rights of the common stock, you should also refer to our amended and restated certificate of incorporation and amended and restated bylaws which have been publicly filed with the SEC, as well as the General Corporation Law of the State of Delaware (“DGCL”). See “Where You Can Find More Information; Incorporation by Reference.”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authorized capital stock consists of 200,000,000 shares of common stock, par value $0.0001 per share, and 5,000,000 shares of preferred stock, par value $0.0001 per share. Our board of directors may establish the rights, powers and preferences of undesignated preferred stock from time to time. Our board of directors is authorized, without stockholder approval, except as required by the listing standards of The Nasdaq Stock Market LLC, to issue additional shares of our authorized capital stock.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Voting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holders of our common stock are entitled to one vote per share on all matters to be voted upon by the stockholders. Our amended and restated certificate of incorporation prohibits cumulative voting. Pursuant to our amended and restated bylaws, the election of directors shall be decided by a plurality vote of the shares present in person or represented by proxy at the meeting and entitled to vote on the election of directors. With respect to matters other than the election of directors, if a quorum is present, the affirmative vote of a majority of the shares represented and voting at a duly held meeting (which shares voting affirmatively also constitute at least a majority of the required quorum) shall be the act of the stockholders, unless the vote of a greater number or a vote by classes is required by law, by our amended and restated certificate of incorporation or by our amended and restated bylaws. The holders of a majority of the shares issued and outstanding and entitled to vote thereat, present in person or represented by proxy, shall constitute a quorum for the transaction of business at all meetings of the stockholders. Our amended and restated certificate of incorporation prohibits stockholders from taking action by written consent in lieu of a meeting.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Dividend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never declared or paid any cash dividends on our common stock. We currently intend to retain any earnings for future growth and do not anticipate paying any cash dividends in the foreseeable future. Any future determination to pay dividends will be at the discretion of our board of directors and will depend on our results of operations, financial conditions, contractual and legal restrictions and other factors the board deems relevant.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Preemption, Conversion, and Redemption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our common stock have no preemptive or conversion rights or other subscription rights, and there are no redemption provisions applicable to the common stock. The outstanding shares of common stock are fully paid and non-assessable. The rights, preferences and privileges of the holders of our common stock are subject to, and may be adversely affected by, the rights of the holders of any series of preferred stock that we may designate and/or issue in the future.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directors is fixed by, or in the manner provided in, our amended and restated certificate of incorporation and amended and restated bylaws. All of our directors elected at an annual meeting of stockholders shall hold office for a term that expires at the next annual meeting of stockholders (or until their respective successors shall have been elected and qualified or until their earlier death, resignation or removal).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Certain Provisions of Delaware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Provisions of Delaware law and of our amended and restated certificate of incorporation and amended and restated bylaws could make the acquisition of the Company through a tender offer, a proxy contest or other means more difficult and could make the removal of incumbent officers and directors more difficult. These provisions can discourage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83302x1_424b5_310-desc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inadequate takeover bids and encourage persons seeking to acquire control of the Company to first negotiate with our board of directors. We believe that the benefits provided by our ability to negotiate with the proponent of an unsolicited proposal would outweigh the disadvantages of discouraging these proposals. We believe the negotiation of an unsolicited proposal could result in terms more favorable to our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summary of the provisions of Section 203 of the DGCL does not purport to be complete and is qualified in its entirety by reference to our amended and restated certificate of incorporation, our amended and restated bylaws, and the DGCL.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Provisions of the Company’s Amended and Restated Certificate of Incorporation and Amended and Restated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provisions in our amended and restated certificate of incorporation and amended and restated bylaws summarized below could discourage, delay or prevent a change in control of our Company or changes in our management that the stockholders of our Company may deem advantageous.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our amended and restated certificate of incorporation, the board of directors may issue, without further stockholder approval, shares of preferred stock in one or more series and may also set forth the voting powers, full or limited or none, of each such series of preferred stock, which the board could use to implement a stockholder rights plan (also known as a “poison pill”). The board of directors shall fix the designations, preferences and relative, participating, optional or other special rights of each such series of preferred stock and the qualifications, limitations or restrictions of such powers, designations, preferences or rights.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Action by Written Consent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our amended and restated certificate of incorporation and amended and restated bylaws, stockholders of the Company may not take action by written consent in lieu of a meeting.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Special Meetings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our amended and restated bylaws, special meetings of our stockholders may be called only by the board of directors, the chairman of the board, the chief executive officer, or the president of the Company.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Advance Notice Requirements for Stockholders Proposals and Director Nominations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Board of Directors and Vacancies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authorized number of directors on the board of directors will be established from time to time by resolution of the board of directors. Vacancies arising through death, resignation, removal, an increase in the number of directors or otherwise may be filled only by a majority of the directors then in office, though less than a quorum, or by a sole remaining director.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Amendment of Our Amended and Restated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is expressly authorized to make, alter or repeal our amended and restated bylaws. Our amended and restated bylaws provide that stockholders are permitted to amend the amended and restated bylaws only with the approval of the holders of sixty-six and two-thirds percent (66 2/3%) of the voting power of outstanding capital stock entitled to vote at an election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83302x1_424b5_310-desc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Forum Selection Clause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amended and restated certificate of incorporation and the amended and restated bylaws, unless the Company consents in writing to the selection of an alternative forum, the sole and exclusive forum for making certain types of claims will be a state or federal court located within the State of Delaware. This provision applies to (i) any derivative action or proceeding brought on behalf of the company, (ii) any action asserting a claim of breach of a fiduciary duty owed by any director or officer or other employee of the Company to the Company or its stockholders, (iii) any action asserting a claim against the company or any director or officer or other employee of the Company arising pursuant to any provision of the DGCL or our amended and restated certificate of incorporation and the amended and restated bylaws, or (iv) any action asserting a claim against the company or any director or officer or other employee of the company governed by the internal affairs doctrine.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transfer agent and registrar for our common stock is Computershare Trust Company, N.A.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Global Select Market under the trading symbol “NXH.”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83302x1_424b5_310-desc_pg4"/>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2" w:name="tDDS"/>
      <w:bookmarkEnd w:id="72"/>
      <w:r>
        <w:rPr>
          <w:rFonts w:ascii="Times New Roman;Times;serif" w:hAnsi="Times New Roman;Times;serif"/>
          <w:b/>
          <w:color w:val="000000"/>
          <w:sz w:val="20"/>
        </w:rPr>
        <w:t xml:space="preserve">DESCRIPTION OF DEBT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used in this section only, “Neighborhood Intelligence,” “we,” “our” or “us” refer to Neighborhood Intelligence, Inc. excluding our subsidiaries, unless expressly stated or the context otherwise requires.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and ranking of the debt securities (including the terms of any subordination provisions); </w:t>
            </w:r>
          </w:p>
        </w:tc>
      </w:tr>
    </w:tbl>
    <w:tbl>
      <w:tblPr>
        <w:tblW w:w="9070" w:type="dxa"/>
        <w:jc w:val="left"/>
        <w:tblInd w:w="0" w:type="dxa"/>
        <w:tblLayout w:type="fixed"/>
        <w:tblCellMar>
          <w:top w:w="0" w:type="dxa"/>
          <w:left w:w="0" w:type="dxa"/>
          <w:bottom w:w="0" w:type="dxa"/>
          <w:right w:w="0" w:type="dxa"/>
        </w:tblCellMar>
      </w:tblPr>
      <w:tblGrid>
        <w:gridCol w:w="110"/>
        <w:gridCol w:w="8960"/>
      </w:tblGrid>
      <w:tr>
        <w:trPr/>
        <w:tc>
          <w:tcPr>
            <w:tcW w:w="110" w:type="dxa"/>
            <w:tcBorders/>
            <w:vAlign w:val="center"/>
          </w:tcPr>
          <w:p>
            <w:pPr>
              <w:pStyle w:val="TableContents"/>
              <w:bidi w:val="0"/>
              <w:spacing w:before="0" w:after="0"/>
              <w:jc w:val="left"/>
              <w:rPr>
                <w:color w:val="000000"/>
              </w:rPr>
            </w:pPr>
            <w:r>
              <w:rPr>
                <w:color w:val="000000"/>
              </w:rPr>
              <w:t>•</w:t>
            </w:r>
          </w:p>
        </w:tc>
        <w:tc>
          <w:tcPr>
            <w:tcW w:w="89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price or prices (expressed as a percentage of the principal amount) at which we will sell the debt securities;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limit on the aggregate principal amount of the debt securities;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or dates on which the principal of the securities of the series is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period or periods within which, the price or prices at which and the terms and conditions upon which we may redeem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83302x1_424b5_310-desc_pg5"/>
        <w:bookmarkEnd w:id="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denominations in which the debt securities will be issued, if other than denominations of $1,000 and any integral multiple thereof; </w:t>
            </w:r>
          </w:p>
        </w:tc>
      </w:tr>
    </w:tbl>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the debt securities will be issued in the form of certificated debt securities or global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portion of principal amount of the debt securities payable upon declaration of acceleration of the maturity date, if other than the principal amount;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designation of the currency, currencies or currency units in which payment of principal of, premium and interest on the debt securities will be made;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provisions relating to any security provided for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addition to, deletion of or change in the covenants described in this prospectus or in the indenture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depositaries, interest rate calculation agents, exchange rate calculation agents or other agents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and Exchange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83302x1_424b5_310-desc_pg6"/>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set forth in the applicable prospectus supplement any restrictive covenants applicable to any issue of debt securities. (Article IV)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Protection in the Event of a Change of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Consolidation, Merger and Sale of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not consolidate with or merge with or into, or convey, transfer or lease all or substantially all of our properties and assets to any person (a “successor person”)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are the surviving entity or the successor person (if other than Neighborhood Intelligence) is a corporation, partnership, trust or other entity organized and validly existing under the laws of any U.S. domestic jurisdiction and expressly assumes our obligations on the debt securities and under the indenture; and </w:t>
            </w:r>
          </w:p>
        </w:tc>
      </w:tr>
    </w:tbl>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immediately after giving effect to the transaction, no Default or Event of Default, shall have occurred and be continuing.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above, any of our subsidiaries may consolidate with, merge into or transfer all or part of its properties to us. (Section 5.1)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Events of Default </w:t>
      </w:r>
    </w:p>
    <w:p>
      <w:pPr>
        <w:pStyle w:val="TextBody"/>
        <w:bidi w:val="0"/>
        <w:spacing w:before="140" w:after="283"/>
        <w:ind w:left="0" w:right="0" w:firstLine="400"/>
        <w:jc w:val="left"/>
        <w:rPr>
          <w:color w:val="000000"/>
        </w:rPr>
      </w:pPr>
      <w:r>
        <w:rPr>
          <w:color w:val="000000"/>
        </w:rPr>
        <w:t>“</w:t>
      </w:r>
      <w:r>
        <w:rPr>
          <w:rFonts w:ascii="Times New Roman;Times;serif" w:hAnsi="Times New Roman;Times;serif"/>
          <w:color w:val="000000"/>
          <w:sz w:val="20"/>
        </w:rPr>
        <w:t xml:space="preserve">Event of Default” means with respect to any series of debt securities,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tbl>
      <w:tblPr>
        <w:tblW w:w="6535" w:type="dxa"/>
        <w:jc w:val="left"/>
        <w:tblInd w:w="0" w:type="dxa"/>
        <w:tblLayout w:type="fixed"/>
        <w:tblCellMar>
          <w:top w:w="0" w:type="dxa"/>
          <w:left w:w="0" w:type="dxa"/>
          <w:bottom w:w="0" w:type="dxa"/>
          <w:right w:w="0" w:type="dxa"/>
        </w:tblCellMar>
      </w:tblPr>
      <w:tblGrid>
        <w:gridCol w:w="110"/>
        <w:gridCol w:w="6425"/>
      </w:tblGrid>
      <w:tr>
        <w:trPr/>
        <w:tc>
          <w:tcPr>
            <w:tcW w:w="11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payment of principal of any security of that series at its maturity;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Neighborhood Intelligence and the trustee receive written notice from the holders of not less than 25% in principal amount of the outstanding debt securities of that series as provided in the indenture; </w:t>
            </w:r>
          </w:p>
        </w:tc>
      </w:tr>
    </w:tbl>
    <w:tbl>
      <w:tblPr>
        <w:tblW w:w="9700" w:type="dxa"/>
        <w:jc w:val="left"/>
        <w:tblInd w:w="0" w:type="dxa"/>
        <w:tblLayout w:type="fixed"/>
        <w:tblCellMar>
          <w:top w:w="0" w:type="dxa"/>
          <w:left w:w="0" w:type="dxa"/>
          <w:bottom w:w="0" w:type="dxa"/>
          <w:right w:w="0" w:type="dxa"/>
        </w:tblCellMar>
      </w:tblPr>
      <w:tblGrid>
        <w:gridCol w:w="110"/>
        <w:gridCol w:w="9590"/>
      </w:tblGrid>
      <w:tr>
        <w:trPr/>
        <w:tc>
          <w:tcPr>
            <w:tcW w:w="11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voluntary or involuntary events of bankruptcy, insolvency or reorganization of Neighborhood Intelligence;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83302x1_424b5_310-desc_pg7"/>
        <w:bookmarkEnd w:id="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Event of Default provided with respect to debt securities of that series that is described in the applicable prospectus supplement. (Section 6.1)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holder has previously given to the trustee written notice of a continuing Event of Default with respect to debt securities of that series;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83302x1_424b5_310-desc_pg8"/>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Modification and Waiver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and the trustee may modify, amend or supplement the indenture or the debt securities of any series without the consent of any holder of any debt security: </w:t>
      </w:r>
    </w:p>
    <w:tbl>
      <w:tblPr>
        <w:tblW w:w="3985" w:type="dxa"/>
        <w:jc w:val="left"/>
        <w:tblInd w:w="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cure any ambiguity, defect or inconsistency; </w:t>
            </w:r>
          </w:p>
        </w:tc>
      </w:tr>
    </w:tbl>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comply with covenants in the indenture described above under the heading “Consolidation, Merger and Sale of Assets;” </w:t>
            </w:r>
          </w:p>
        </w:tc>
      </w:tr>
    </w:tbl>
    <w:tbl>
      <w:tblPr>
        <w:tblW w:w="7360" w:type="dxa"/>
        <w:jc w:val="left"/>
        <w:tblInd w:w="0" w:type="dxa"/>
        <w:tblLayout w:type="fixed"/>
        <w:tblCellMar>
          <w:top w:w="0" w:type="dxa"/>
          <w:left w:w="0" w:type="dxa"/>
          <w:bottom w:w="0" w:type="dxa"/>
          <w:right w:w="0" w:type="dxa"/>
        </w:tblCellMar>
      </w:tblPr>
      <w:tblGrid>
        <w:gridCol w:w="110"/>
        <w:gridCol w:w="7250"/>
      </w:tblGrid>
      <w:tr>
        <w:trPr/>
        <w:tc>
          <w:tcPr>
            <w:tcW w:w="11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for uncertificated securities in addition to or in place of certificated securities;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add guarantees with respect to debt securities of any series or secure debt securities of any series; </w:t>
            </w:r>
          </w:p>
        </w:tc>
      </w:tr>
    </w:tbl>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surrender any of our rights or powers under the indenture; </w:t>
            </w:r>
          </w:p>
        </w:tc>
      </w:tr>
    </w:tbl>
    <w:tbl>
      <w:tblPr>
        <w:tblW w:w="8035" w:type="dxa"/>
        <w:jc w:val="left"/>
        <w:tblInd w:w="0" w:type="dxa"/>
        <w:tblLayout w:type="fixed"/>
        <w:tblCellMar>
          <w:top w:w="0" w:type="dxa"/>
          <w:left w:w="0" w:type="dxa"/>
          <w:bottom w:w="0" w:type="dxa"/>
          <w:right w:w="0" w:type="dxa"/>
        </w:tblCellMar>
      </w:tblPr>
      <w:tblGrid>
        <w:gridCol w:w="110"/>
        <w:gridCol w:w="7925"/>
      </w:tblGrid>
      <w:tr>
        <w:trPr/>
        <w:tc>
          <w:tcPr>
            <w:tcW w:w="11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add covenants or events of default for the benefit of the holders of debt securities of any series;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comply with the applicable procedures of the applicable depositary;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make any change that does not adversely affect the rights of any holder of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provide for the issuance of and establish the form and terms and conditions of debt securities of any series as permitted by the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comply with requirements of the SEC in order to effect or maintain the qualification of the indenture under the Trust Indenture Act. (Section 9.1)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amount of debt securities whose holders must consent to an amendment, supplement or waiver; </w:t>
            </w:r>
          </w:p>
        </w:tc>
      </w:tr>
    </w:tbl>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reduce the rate of or extend the time for payment of interest (including default interest) on any debt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tbl>
      <w:tblPr>
        <w:tblW w:w="7420" w:type="dxa"/>
        <w:jc w:val="left"/>
        <w:tblInd w:w="0" w:type="dxa"/>
        <w:tblLayout w:type="fixed"/>
        <w:tblCellMar>
          <w:top w:w="0" w:type="dxa"/>
          <w:left w:w="0" w:type="dxa"/>
          <w:bottom w:w="0" w:type="dxa"/>
          <w:right w:w="0" w:type="dxa"/>
        </w:tblCellMar>
      </w:tblPr>
      <w:tblGrid>
        <w:gridCol w:w="110"/>
        <w:gridCol w:w="7310"/>
      </w:tblGrid>
      <w:tr>
        <w:trPr/>
        <w:tc>
          <w:tcPr>
            <w:tcW w:w="110" w:type="dxa"/>
            <w:tcBorders/>
            <w:vAlign w:val="center"/>
          </w:tcPr>
          <w:p>
            <w:pPr>
              <w:pStyle w:val="TableContents"/>
              <w:bidi w:val="0"/>
              <w:spacing w:before="0" w:after="0"/>
              <w:jc w:val="left"/>
              <w:rPr>
                <w:color w:val="000000"/>
              </w:rPr>
            </w:pPr>
            <w:r>
              <w:rPr>
                <w:color w:val="000000"/>
              </w:rPr>
              <w:t>•</w:t>
            </w:r>
          </w:p>
        </w:tc>
        <w:tc>
          <w:tcPr>
            <w:tcW w:w="7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principal amount of discount securities payable upon acceleration of maturity;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the principal of or premium or interest on any debt security payable in currency other than that stated in the debt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tbl>
      <w:tblPr>
        <w:tblW w:w="6310" w:type="dxa"/>
        <w:jc w:val="left"/>
        <w:tblInd w:w="0" w:type="dxa"/>
        <w:tblLayout w:type="fixed"/>
        <w:tblCellMar>
          <w:top w:w="0" w:type="dxa"/>
          <w:left w:w="0" w:type="dxa"/>
          <w:bottom w:w="0" w:type="dxa"/>
          <w:right w:w="0" w:type="dxa"/>
        </w:tblCellMar>
      </w:tblPr>
      <w:tblGrid>
        <w:gridCol w:w="110"/>
        <w:gridCol w:w="6200"/>
      </w:tblGrid>
      <w:tr>
        <w:trPr/>
        <w:tc>
          <w:tcPr>
            <w:tcW w:w="110" w:type="dxa"/>
            <w:tcBorders/>
            <w:vAlign w:val="center"/>
          </w:tcPr>
          <w:p>
            <w:pPr>
              <w:pStyle w:val="TableContents"/>
              <w:bidi w:val="0"/>
              <w:spacing w:before="0" w:after="0"/>
              <w:jc w:val="left"/>
              <w:rPr>
                <w:color w:val="000000"/>
              </w:rPr>
            </w:pPr>
            <w:r>
              <w:rPr>
                <w:color w:val="000000"/>
              </w:rPr>
              <w:t>•</w:t>
            </w:r>
          </w:p>
        </w:tc>
        <w:tc>
          <w:tcPr>
            <w:tcW w:w="6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waive a redemption payment with respect to any debt security. (Section 9.3)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83302x1_424b5_310-desc_pg9"/>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 of the outstanding debt securities of any series may rescind an acceleration and its consequences, including any related payment default that resulted from the acceleration. (Section 6.13)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Defeasance of Debt Securities and Certain Covenants in Certain Circumstances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Legal Defeasance</w:t>
      </w:r>
      <w:r>
        <w:rPr>
          <w:rFonts w:ascii="Times New Roman;Times;serif" w:hAnsi="Times New Roman;Times;serif"/>
          <w:i w:val="false"/>
          <w:caps w:val="false"/>
          <w:smallCaps w:val="false"/>
          <w:color w:val="000000"/>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Defeasance of Certain Covenants</w:t>
      </w:r>
      <w:r>
        <w:rPr>
          <w:rFonts w:ascii="Times New Roman;Times;serif" w:hAnsi="Times New Roman;Times;serif"/>
          <w:i w:val="false"/>
          <w:caps w:val="false"/>
          <w:smallCaps w:val="false"/>
          <w:color w:val="000000"/>
          <w:sz w:val="20"/>
        </w:rPr>
        <w:t xml:space="preserve">. The indenture provides that, unless otherwise provided by the terms of the applicable series of debt securities, upon compliance with certain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conditions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Personal Liability of Directors, Officers, Employees or Securityholders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83302x1_424b5_310-desc_pg10"/>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83302x1_424b5_310-desc_pg1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0" w:name="tDOW"/>
      <w:bookmarkEnd w:id="80"/>
      <w:r>
        <w:rPr>
          <w:rFonts w:ascii="Times New Roman;Times;serif" w:hAnsi="Times New Roman;Times;serif"/>
          <w:b/>
          <w:color w:val="000000"/>
          <w:sz w:val="20"/>
        </w:rPr>
        <w:t xml:space="preserve">DESCRIPTION OF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particular terms of any issue of warrants will be described in the prospectus supplement relating to the issue. Those terms may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or preferred stock purchasable upon the exercise of warrants to purchase such shares and the price at which such number of shares may be purchased upon such exercise;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designation, stated value and terms (including, without limitation, liquidation, dividend, conversion and voting rights) of the series of preferred stock purchasable upon exercise of warrants to purchase preferred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principal amount of debt securities that may be purchased upon exercise of a debt warrant and the exercise price for the warrants, which may be payable in cash, securities or other property;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if any, on and after which the warrants and the related debt securities, preferred stock or common stock will be separately transferable; </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any rights to redeem or call the warrants; </w:t>
            </w:r>
          </w:p>
        </w:tc>
      </w:tr>
    </w:tbl>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warrants will commence and the date on which the right will expire; </w:t>
            </w:r>
          </w:p>
        </w:tc>
      </w:tr>
    </w:tbl>
    <w:tbl>
      <w:tblPr>
        <w:tblW w:w="6550" w:type="dxa"/>
        <w:jc w:val="left"/>
        <w:tblInd w:w="0" w:type="dxa"/>
        <w:tblLayout w:type="fixed"/>
        <w:tblCellMar>
          <w:top w:w="0" w:type="dxa"/>
          <w:left w:w="0" w:type="dxa"/>
          <w:bottom w:w="0" w:type="dxa"/>
          <w:right w:w="0" w:type="dxa"/>
        </w:tblCellMar>
      </w:tblPr>
      <w:tblGrid>
        <w:gridCol w:w="110"/>
        <w:gridCol w:w="6440"/>
      </w:tblGrid>
      <w:tr>
        <w:trPr/>
        <w:tc>
          <w:tcPr>
            <w:tcW w:w="11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United States Federal income tax consequences applicable to the warrants;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additional terms of the warrants, including terms, procedures, and limitations relating to the exchange, exercise and settlement of the warrants.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equity warrants will not be entitled: </w:t>
      </w:r>
    </w:p>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consent or receive dividends;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receive notice as shareholders with respect to any meeting of shareholders for the election of our directors or any other matter; or </w:t>
            </w:r>
          </w:p>
        </w:tc>
      </w:tr>
    </w:tbl>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exercise any rights as shareholders of Neighborhood Intelligence.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83302x1_424b5_310-desc_pg12"/>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DPC"/>
      <w:bookmarkEnd w:id="82"/>
      <w:r>
        <w:rPr>
          <w:rFonts w:ascii="Times New Roman;Times;serif" w:hAnsi="Times New Roman;Times;serif"/>
          <w:b/>
          <w:color w:val="000000"/>
          <w:sz w:val="20"/>
        </w:rPr>
        <w:t xml:space="preserve">DESCRIPTION OF PURCHASE CONTRACTS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issue purchase contracts for the purchase or sale of debt or equity securities issued by us. Each purchase contract will entitle the holder thereof to purchase or sell, and obligate us to sell or purchase, on specified dates, such securities at a specified purchase price, which may be based on a formula, all as set forth in the applicable prospectus supplement. Any purchase contracts we issue will be physically settled by delivery of such securities. The applicable prospectus supplement will also specify the methods by which the holders may purchase or sell such securities and any acceleration, cancellation or termination provisions or other provisions relating to the settlement of a purchase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83302x1_424b5_310-desc_pg13"/>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DOU"/>
      <w:bookmarkEnd w:id="84"/>
      <w:r>
        <w:rPr>
          <w:rFonts w:ascii="Times New Roman;Times;serif" w:hAnsi="Times New Roman;Times;serif"/>
          <w:b/>
          <w:color w:val="000000"/>
          <w:sz w:val="20"/>
        </w:rPr>
        <w:t xml:space="preserve">DESCRIPTION OF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offer any units, certain terms of that series of units will be described in the applicable prospectus supplement, including, without limitation, the following, as applicable: </w:t>
      </w:r>
    </w:p>
    <w:tbl>
      <w:tblPr>
        <w:tblW w:w="2530" w:type="dxa"/>
        <w:jc w:val="left"/>
        <w:tblInd w:w="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series of units; </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identification and description of the separate constituent securities comprising the units; </w:t>
            </w:r>
          </w:p>
        </w:tc>
      </w:tr>
    </w:tbl>
    <w:tbl>
      <w:tblPr>
        <w:tblW w:w="4315" w:type="dxa"/>
        <w:jc w:val="left"/>
        <w:tblInd w:w="0" w:type="dxa"/>
        <w:tblLayout w:type="fixed"/>
        <w:tblCellMar>
          <w:top w:w="0" w:type="dxa"/>
          <w:left w:w="0" w:type="dxa"/>
          <w:bottom w:w="0" w:type="dxa"/>
          <w:right w:w="0" w:type="dxa"/>
        </w:tblCellMar>
      </w:tblPr>
      <w:tblGrid>
        <w:gridCol w:w="110"/>
        <w:gridCol w:w="4205"/>
      </w:tblGrid>
      <w:tr>
        <w:trPr/>
        <w:tc>
          <w:tcPr>
            <w:tcW w:w="11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or prices at which the units will be issued;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if any, on and after which the constituent securities comprising the units will be separately transferable; </w:t>
            </w:r>
          </w:p>
        </w:tc>
      </w:tr>
    </w:tbl>
    <w:tbl>
      <w:tblPr>
        <w:tblW w:w="8140" w:type="dxa"/>
        <w:jc w:val="left"/>
        <w:tblInd w:w="0" w:type="dxa"/>
        <w:tblLayout w:type="fixed"/>
        <w:tblCellMar>
          <w:top w:w="0" w:type="dxa"/>
          <w:left w:w="0" w:type="dxa"/>
          <w:bottom w:w="0" w:type="dxa"/>
          <w:right w:w="0" w:type="dxa"/>
        </w:tblCellMar>
      </w:tblPr>
      <w:tblGrid>
        <w:gridCol w:w="110"/>
        <w:gridCol w:w="8030"/>
      </w:tblGrid>
      <w:tr>
        <w:trPr/>
        <w:tc>
          <w:tcPr>
            <w:tcW w:w="11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discussion of certain United States federal income tax considerations applicable to the units; and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units and their constituent securities.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83302x1_424b5_310-desc_pg14"/>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6" w:name="tGLO"/>
      <w:bookmarkEnd w:id="86"/>
      <w:r>
        <w:rPr>
          <w:rFonts w:ascii="Times New Roman;Times;serif" w:hAnsi="Times New Roman;Times;serif"/>
          <w:b/>
          <w:color w:val="000000"/>
          <w:sz w:val="20"/>
        </w:rPr>
        <w:t xml:space="preserve">GLOBAL SECURITIES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Book-Entry, Delivery and 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DTC has advised us that it is: </w:t>
      </w:r>
    </w:p>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limited-purpose trust company organized under the New York Banking Law;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“banking organization” within the meaning of the New York Banking Law; </w:t>
            </w:r>
          </w:p>
        </w:tc>
      </w:tr>
    </w:tbl>
    <w:tbl>
      <w:tblPr>
        <w:tblW w:w="3490" w:type="dxa"/>
        <w:jc w:val="left"/>
        <w:tblInd w:w="0" w:type="dxa"/>
        <w:tblLayout w:type="fixed"/>
        <w:tblCellMar>
          <w:top w:w="0" w:type="dxa"/>
          <w:left w:w="0" w:type="dxa"/>
          <w:bottom w:w="0" w:type="dxa"/>
          <w:right w:w="0" w:type="dxa"/>
        </w:tblCellMar>
      </w:tblPr>
      <w:tblGrid>
        <w:gridCol w:w="110"/>
        <w:gridCol w:w="3380"/>
      </w:tblGrid>
      <w:tr>
        <w:trPr/>
        <w:tc>
          <w:tcPr>
            <w:tcW w:w="110" w:type="dxa"/>
            <w:tcBorders/>
            <w:vAlign w:val="center"/>
          </w:tcPr>
          <w:p>
            <w:pPr>
              <w:pStyle w:val="TableContents"/>
              <w:bidi w:val="0"/>
              <w:spacing w:before="0" w:after="0"/>
              <w:jc w:val="left"/>
              <w:rPr>
                <w:color w:val="000000"/>
              </w:rPr>
            </w:pPr>
            <w:r>
              <w:rPr>
                <w:color w:val="000000"/>
              </w:rPr>
              <w:t>•</w:t>
            </w:r>
          </w:p>
        </w:tc>
        <w:tc>
          <w:tcPr>
            <w:tcW w:w="3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member of the Federal Reserve System; </w:t>
            </w:r>
          </w:p>
        </w:tc>
      </w:tr>
    </w:tbl>
    <w:tbl>
      <w:tblPr>
        <w:tblW w:w="7765" w:type="dxa"/>
        <w:jc w:val="left"/>
        <w:tblInd w:w="0" w:type="dxa"/>
        <w:tblLayout w:type="fixed"/>
        <w:tblCellMar>
          <w:top w:w="0" w:type="dxa"/>
          <w:left w:w="0" w:type="dxa"/>
          <w:bottom w:w="0" w:type="dxa"/>
          <w:right w:w="0" w:type="dxa"/>
        </w:tblCellMar>
      </w:tblPr>
      <w:tblGrid>
        <w:gridCol w:w="110"/>
        <w:gridCol w:w="7655"/>
      </w:tblGrid>
      <w:tr>
        <w:trPr/>
        <w:tc>
          <w:tcPr>
            <w:tcW w:w="11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“clearing corporation” within the meaning of the New York Uniform Commercial Code; and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“clearing agency” registered pursuant to the provisions of Section 17A of the Exchange Act.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83302x1_424b5_310-desc_pg15"/>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beneficial owners of a particular series of securities generally will not receive certificates representing their ownership interests in those securities. However,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tbl>
      <w:tblPr>
        <w:tblW w:w="9175" w:type="dxa"/>
        <w:jc w:val="left"/>
        <w:tblInd w:w="0" w:type="dxa"/>
        <w:tblLayout w:type="fixed"/>
        <w:tblCellMar>
          <w:top w:w="0" w:type="dxa"/>
          <w:left w:w="0" w:type="dxa"/>
          <w:bottom w:w="0" w:type="dxa"/>
          <w:right w:w="0" w:type="dxa"/>
        </w:tblCellMar>
      </w:tblPr>
      <w:tblGrid>
        <w:gridCol w:w="110"/>
        <w:gridCol w:w="9065"/>
      </w:tblGrid>
      <w:tr>
        <w:trPr/>
        <w:tc>
          <w:tcPr>
            <w:tcW w:w="110"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determine, in our sole discretion, not to have such securities represented by one or more global securities; or </w:t>
            </w:r>
          </w:p>
        </w:tc>
      </w:tr>
    </w:tbl>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Event of Default has occurred and is continuing with respect to such series of securities,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83302x1_424b5_310-desc_pg16"/>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Euroclear and Clearstream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83302x1_424b5_311-plan_pg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POD"/>
      <w:bookmarkEnd w:id="90"/>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w:t>
      </w:r>
    </w:p>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 fixed price or prices, which may be changed; </w:t>
            </w:r>
          </w:p>
        </w:tc>
      </w:tr>
    </w:tbl>
    <w:tbl>
      <w:tblPr>
        <w:tblW w:w="3865" w:type="dxa"/>
        <w:jc w:val="left"/>
        <w:tblInd w:w="0" w:type="dxa"/>
        <w:tblLayout w:type="fixed"/>
        <w:tblCellMar>
          <w:top w:w="0" w:type="dxa"/>
          <w:left w:w="0" w:type="dxa"/>
          <w:bottom w:w="0" w:type="dxa"/>
          <w:right w:w="0" w:type="dxa"/>
        </w:tblCellMar>
      </w:tblPr>
      <w:tblGrid>
        <w:gridCol w:w="110"/>
        <w:gridCol w:w="3755"/>
      </w:tblGrid>
      <w:tr>
        <w:trPr/>
        <w:tc>
          <w:tcPr>
            <w:tcW w:w="110" w:type="dxa"/>
            <w:tcBorders/>
            <w:vAlign w:val="center"/>
          </w:tcPr>
          <w:p>
            <w:pPr>
              <w:pStyle w:val="TableContents"/>
              <w:bidi w:val="0"/>
              <w:spacing w:before="0" w:after="0"/>
              <w:jc w:val="left"/>
              <w:rPr>
                <w:color w:val="000000"/>
              </w:rPr>
            </w:pPr>
            <w:r>
              <w:rPr>
                <w:color w:val="000000"/>
              </w:rPr>
              <w:t>•</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market prices prevailing at the time of sale; </w:t>
            </w:r>
          </w:p>
        </w:tc>
      </w:tr>
    </w:tbl>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prices related to such prevailing market prices; or </w:t>
            </w:r>
          </w:p>
        </w:tc>
      </w:tr>
    </w:tbl>
    <w:tbl>
      <w:tblPr>
        <w:tblW w:w="1810" w:type="dxa"/>
        <w:jc w:val="left"/>
        <w:tblInd w:w="0" w:type="dxa"/>
        <w:tblLayout w:type="fixed"/>
        <w:tblCellMar>
          <w:top w:w="0" w:type="dxa"/>
          <w:left w:w="0" w:type="dxa"/>
          <w:bottom w:w="0" w:type="dxa"/>
          <w:right w:w="0" w:type="dxa"/>
        </w:tblCellMar>
      </w:tblPr>
      <w:tblGrid>
        <w:gridCol w:w="110"/>
        <w:gridCol w:w="1700"/>
      </w:tblGrid>
      <w:tr>
        <w:trPr/>
        <w:tc>
          <w:tcPr>
            <w:tcW w:w="11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negotiated prices.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common stock will be listed on the The Nasdaq Stock Market LLC (or such other national securities exchange on which our common stock is then listed for trading),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83302x1_424b5_311-plan_pg2"/>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specific terms of any lock-up provisions in respect of any given offering will be described in the applicable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underwriters, dealers and agents may engage in transactions with us, or perform services for us, in the ordinary course of business for which they receive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83302x1_424b5_312-legal_pg1"/>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3" w:name="tLM"/>
      <w:bookmarkEnd w:id="93"/>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Latham &amp; Watkins LLP will pass upon certain legal matters relating to the issuance and sale of the securities offered hereby on behalf of Neighborhood Intelligence, Inc. Additional legal matters may be passed upon for us or any underwriters, dealers or agents, by counsel that we will name in the applicable prospectus supplement. </w:t>
      </w:r>
    </w:p>
    <w:p>
      <w:pPr>
        <w:pStyle w:val="TextBody"/>
        <w:bidi w:val="0"/>
        <w:spacing w:before="410" w:after="283"/>
        <w:jc w:val="center"/>
        <w:rPr>
          <w:rFonts w:ascii="Times New Roman;Times;serif" w:hAnsi="Times New Roman;Times;serif"/>
          <w:b/>
          <w:color w:val="000000"/>
          <w:sz w:val="20"/>
        </w:rPr>
      </w:pPr>
      <w:bookmarkStart w:id="94" w:name="tEXP"/>
      <w:bookmarkEnd w:id="94"/>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Neighborhood Intelligence, Inc. (formerly known as Bed Bath &amp; Beyond, Inc.)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Medici Ventures, L.P. as of September 30, 2023 and for the year then ended have been audited by Ernst &amp; Young LLP, independent auditors, as set forth in their report thereon, and are included in the Annual Report (Form 10-K) of Neighborhood Intelligence, Inc., for the year ended December 31, 2025, which is incorporated herein by reference. Such financial statements are incorporated herein by reference in reliance upon such report given on the authority of such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Medici Ventures, L.P. as of September 30, 2024 and for the year then ended, have been audited by Ernst &amp; Young LLP, independent auditors, as set forth in their report thereon, and are included in the Annual Report (Form 10-K) of Neighborhood Intelligence, Inc., for the year ended December 31, 2025, which is incorporated herein by reference. Such financial statements are incorporated herein by reference in reliance upon such report given on the authority of such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tZERO Group, Inc. as of December 31, 2023 and 2022 and for the years then ended have been incorporated by reference herein and in the registration statement in reliance upon the report of Baker Tilly US, LLP, independent auditors, incorporated by reference herein, and upon the authority of said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The Brand House Collective, Inc. as of January 31, 2026 and February 1, 2025 and for the three years in the period ended January 31, 2026 have been audited by Ernst &amp; Young LLP, independent registered public accounting firm, as set forth in their report thereon, and are included in the Current Report on Form 8-K/A of Neighborhood Intelligence, Inc. filed on May 8, 2026, which is incorporated herein by reference. Such financial statements are incorporated herein by reference in reliance upon such report given on the authority of such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The Container Store Group, Inc. as of March 29, 2025 and for the periods from January 26, 2026 through March 29, 2025 (Successor) and March 31, 2024 through January 25, 2025 (Predecessor) have been audited by Ernst &amp; Young LLP, independent auditors, as set forth in their report thereon, and are included in the Current Report on Form 8-K/A of Neighborhood Intelligence, Inc. filed on July 27, 2026, which is incorporated herein by reference. Such financial statements are incorporated herein by reference in reliance upon such report given on the authority of such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audited historical financial statements of The Container Store Group, Inc. included as Exhibit 99.1 of Neighborhood Intelligence, Inc.’s Current Report on Form 8-K/A dated July 27, 2026 have been so incorporated in reliance on the report of PricewaterhouseCoopers LLP, independent auditors, given on the authority of said firm as experts in auditing and accounting.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Cabinets To Go, LLC as of December 31, 2025 and for the year then ended incorporated by reference in this Prospectus and in the Registration Statement have been so incorporated in reliance on the report of BDO USA, P.C., independent auditors, given on the authority of said firm as experts in auditing and accounting.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LumLiq2, LLC as of December 31, 2025 and for the year then ended incorporated by reference in this Prospectus and in the Registration Statement have been so incorporated in reliance on the report of BDO USA, P.C., independent auditors, given on the authority of said firm as experts in auditing and accounting.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83302x1_424b5_312-legal_pg2"/>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Southwind Building Products. LLC as of December 31, 2025 and for the year then ended have been audited by Estes &amp; Walcott, independent auditors, as set forth in their report thereon, and are included in the Current Report on Form 8-K of Neighborhood Intelligence, Inc. filed on August 4, 2026, which is incorporated herein by reference. Such financial statements are incorporated herein by reference in reliance upon such report given on the authority of such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83302x1_424b5_400-bcv_pg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3015" w:after="283"/>
        <w:ind w:left="0" w:right="0" w:hanging="0"/>
        <w:jc w:val="center"/>
        <w:rPr>
          <w:color w:val="000000"/>
        </w:rPr>
      </w:pPr>
      <w:r>
        <w:rPr>
          <w:color w:val="000000"/>
        </w:rPr>
        <w:drawing>
          <wp:inline distT="0" distB="0" distL="0" distR="0">
            <wp:extent cx="3495675" cy="914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7"/>
                    <a:stretch>
                      <a:fillRect/>
                    </a:stretch>
                  </pic:blipFill>
                  <pic:spPr bwMode="auto">
                    <a:xfrm>
                      <a:off x="0" y="0"/>
                      <a:ext cx="3495675" cy="914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76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11,243,511 Shares of Common Stock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Pre-Funded Warrants to Purchase up to 5,241,997 Shares of Common Stock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Warrants to Purchase up to 16,123,189 Shares of Common Stock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Placement Agent Warrants to Purchase up to 494,565 Shares of Common Stock </w:t>
      </w:r>
    </w:p>
    <w:p>
      <w:pPr>
        <w:pStyle w:val="TextBody"/>
        <w:bidi w:val="0"/>
        <w:spacing w:before="96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44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PROSPECTUS SUPPLEMENT </w:t>
      </w:r>
    </w:p>
    <w:p>
      <w:pPr>
        <w:pStyle w:val="TextBody"/>
        <w:bidi w:val="0"/>
        <w:spacing w:before="12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920" w:after="283"/>
        <w:jc w:val="center"/>
        <w:rPr>
          <w:rFonts w:ascii="Times New Roman;Times;serif" w:hAnsi="Times New Roman;Times;serif"/>
          <w:b/>
          <w:color w:val="000000"/>
          <w:sz w:val="34"/>
        </w:rPr>
      </w:pPr>
      <w:r>
        <w:rPr>
          <w:rFonts w:ascii="Times New Roman;Times;serif" w:hAnsi="Times New Roman;Times;serif"/>
          <w:b/>
          <w:color w:val="000000"/>
          <w:sz w:val="34"/>
        </w:rPr>
        <w:t xml:space="preserve">Rodman &amp; Renshaw LLC </w:t>
      </w:r>
    </w:p>
    <w:p>
      <w:pPr>
        <w:pStyle w:val="TextBody"/>
        <w:bidi w:val="0"/>
        <w:spacing w:before="2880" w:after="283"/>
        <w:jc w:val="center"/>
        <w:rPr>
          <w:rFonts w:ascii="Times New Roman;Times;serif" w:hAnsi="Times New Roman;Times;serif"/>
          <w:b/>
          <w:color w:val="000000"/>
          <w:sz w:val="20"/>
        </w:rPr>
      </w:pPr>
      <w:r>
        <w:rPr>
          <w:rFonts w:ascii="Times New Roman;Times;serif" w:hAnsi="Times New Roman;Times;serif"/>
          <w:b/>
          <w:color w:val="000000"/>
          <w:sz w:val="20"/>
        </w:rPr>
        <w:t>October 5,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130713/000113071326000018/bbby-20251231.htm" TargetMode="External"/><Relationship Id="rId4" Type="http://schemas.openxmlformats.org/officeDocument/2006/relationships/hyperlink" Target="https://www.sec.gov/ix?doc=/Archives/edgar/data/1130713/000114036126011489/ny20063924x2_def14a.htm" TargetMode="External"/><Relationship Id="rId5" Type="http://schemas.openxmlformats.org/officeDocument/2006/relationships/hyperlink" Target="https://www.sec.gov/ix?doc=/Archives/edgar/data/1130713/000113071326000038/byon-20260331.htm" TargetMode="External"/><Relationship Id="rId6" Type="http://schemas.openxmlformats.org/officeDocument/2006/relationships/hyperlink" Target="https://www.sec.gov/ix?doc=/Archives/edgar/data/1130713/000162828026052744/byon-20260630.htm" TargetMode="External"/><Relationship Id="rId7" Type="http://schemas.openxmlformats.org/officeDocument/2006/relationships/hyperlink" Target="https://www.sec.gov/ix?doc=/Archives/edgar/data/1130713/000114036126000262/ef20062330_8k.htm" TargetMode="External"/><Relationship Id="rId8" Type="http://schemas.openxmlformats.org/officeDocument/2006/relationships/hyperlink" Target="https://www.sec.gov/ix?doc=/Archives/edgar/data/1130713/000114036126000846/ef20062677_8k.htm" TargetMode="External"/><Relationship Id="rId9" Type="http://schemas.openxmlformats.org/officeDocument/2006/relationships/hyperlink" Target="https://www.sec.gov/ix?doc=/Archives/edgar/data/1130713/000113071326000010/byon-20251230.htm" TargetMode="External"/><Relationship Id="rId10" Type="http://schemas.openxmlformats.org/officeDocument/2006/relationships/hyperlink" Target="https://www.sec.gov/ix?doc=/Archives/edgar/data/1130713/000114036126012893/ef20069679_8k.htm" TargetMode="External"/><Relationship Id="rId11" Type="http://schemas.openxmlformats.org/officeDocument/2006/relationships/hyperlink" Target="https://www.sec.gov/ix?doc=/Archives/edgar/data/1130713/000114036126012981/ef20069680_8k.htm" TargetMode="External"/><Relationship Id="rId12" Type="http://schemas.openxmlformats.org/officeDocument/2006/relationships/hyperlink" Target="https://www.sec.gov/ix?doc=/Archives/edgar/data/1130713/000114036126020026/ef20072655_8ka.htm" TargetMode="External"/><Relationship Id="rId13" Type="http://schemas.openxmlformats.org/officeDocument/2006/relationships/hyperlink" Target="https://www.sec.gov/ix?doc=/Archives/edgar/data/1130713/000113071326000043/bbby-20260514.htm" TargetMode="External"/><Relationship Id="rId14" Type="http://schemas.openxmlformats.org/officeDocument/2006/relationships/hyperlink" Target="https://www.sec.gov/ix?doc=/Archives/edgar/data/1130713/000113071326000046/bbby-20260515.htm" TargetMode="External"/><Relationship Id="rId15" Type="http://schemas.openxmlformats.org/officeDocument/2006/relationships/hyperlink" Target="https://www.sec.gov/ix?doc=/Archives/edgar/data/1130713/000114036126025607/ef20076327_8k.htm" TargetMode="External"/><Relationship Id="rId16" Type="http://schemas.openxmlformats.org/officeDocument/2006/relationships/hyperlink" Target="https://www.sec.gov/ix?doc=/Archives/edgar/data/1130713/000114036126027094/ef20077159_8k.htm" TargetMode="External"/><Relationship Id="rId17" Type="http://schemas.openxmlformats.org/officeDocument/2006/relationships/hyperlink" Target="https://www.sec.gov/ix?doc=/Archives/edgar/data/1130713/000114036126028107/ef20077593_8k.htm" TargetMode="External"/><Relationship Id="rId18" Type="http://schemas.openxmlformats.org/officeDocument/2006/relationships/hyperlink" Target="https://www.sec.gov/ix?doc=/Archives/edgar/data/1130713/000114036126029774/ef20078728_8k.htm" TargetMode="External"/><Relationship Id="rId19" Type="http://schemas.openxmlformats.org/officeDocument/2006/relationships/hyperlink" Target="https://www.sec.gov/ix?doc=/Archives/edgar/data/1130713/000114036126029776/ef20078841_8ka.htm" TargetMode="External"/><Relationship Id="rId20" Type="http://schemas.openxmlformats.org/officeDocument/2006/relationships/hyperlink" Target="https://www.sec.gov/ix?doc=/Archives/edgar/data/1130713/000162828026052552/byon-20260804.htm" TargetMode="External"/><Relationship Id="rId21" Type="http://schemas.openxmlformats.org/officeDocument/2006/relationships/hyperlink" Target="https://www.sec.gov/ix?doc=/Archives/edgar/data/1130713/000114036126031285/ef20079468_8k.htm" TargetMode="External"/><Relationship Id="rId22" Type="http://schemas.openxmlformats.org/officeDocument/2006/relationships/hyperlink" Target="https://www.sec.gov/ix?doc=/Archives/edgar/data/1130713/000114036126031294/ef20079337_8k.htm" TargetMode="External"/><Relationship Id="rId23" Type="http://schemas.openxmlformats.org/officeDocument/2006/relationships/hyperlink" Target="https://www.sec.gov/ix?doc=/Archives/edgar/data/1130713/000114036126031414/ef20079516_8k.htm" TargetMode="External"/><Relationship Id="rId24" Type="http://schemas.openxmlformats.org/officeDocument/2006/relationships/hyperlink" Target="https://www.sec.gov/ix?doc=/Archives/edgar/data/1130713/000114036126032653/ef20079981_8k.htm" TargetMode="External"/><Relationship Id="rId25" Type="http://schemas.openxmlformats.org/officeDocument/2006/relationships/hyperlink" Target="https://www.sec.gov/ix?doc=/Archives/edgar/data/1130713/000114036126033194/ef20080088_8k.htm" TargetMode="External"/><Relationship Id="rId26" Type="http://schemas.openxmlformats.org/officeDocument/2006/relationships/hyperlink" Target="https://www.sec.gov/ix?doc=/Archives/edgar/data/1130713/000114036126035920/ef20081710_8k.htm" TargetMode="External"/><Relationship Id="rId27" Type="http://schemas.openxmlformats.org/officeDocument/2006/relationships/hyperlink" Target="https://www.sec.gov/ix?doc=/Archives/edgar/data/1130713/000114036126037703/ef20082771_8k.htm" TargetMode="External"/><Relationship Id="rId28" Type="http://schemas.openxmlformats.org/officeDocument/2006/relationships/hyperlink" Target="https://www.sec.gov/ix?doc=/Archives/edgar/data/1130713/000114036126038532/ef20083268_8k.htm" TargetMode="External"/><Relationship Id="rId29" Type="http://schemas.openxmlformats.org/officeDocument/2006/relationships/hyperlink" Target="https://www.sec.gov/ix?doc=/Archives/edgar/data/1130713/000114036126038653/ef20083311_form8k.htm" TargetMode="External"/><Relationship Id="rId30" Type="http://schemas.openxmlformats.org/officeDocument/2006/relationships/hyperlink" Target="https://www.sec.gov/Archives/edgar/data/1130713/000114036126033179/ef20080090_8-a12b.htm" TargetMode="External"/><Relationship Id="rId31" Type="http://schemas.openxmlformats.org/officeDocument/2006/relationships/image" Target="media/image2.jpeg"/><Relationship Id="rId32" Type="http://schemas.openxmlformats.org/officeDocument/2006/relationships/hyperlink" Target="https://www.sec.gov/ix?doc=/Archives/edgar/data/1130713/000113071326000018/bbby-20251231.htm" TargetMode="External"/><Relationship Id="rId33" Type="http://schemas.openxmlformats.org/officeDocument/2006/relationships/hyperlink" Target="https://www.sec.gov/ix?doc=/Archives/edgar/data/1130713/000114036126011489/ny20063924x2_def14a.htm" TargetMode="External"/><Relationship Id="rId34" Type="http://schemas.openxmlformats.org/officeDocument/2006/relationships/hyperlink" Target="https://www.sec.gov/ix?doc=/Archives/edgar/data/1130713/000113071326000038/byon-20260331.htm" TargetMode="External"/><Relationship Id="rId35" Type="http://schemas.openxmlformats.org/officeDocument/2006/relationships/hyperlink" Target="https://www.sec.gov/ix?doc=/Archives/edgar/data/0001130713/000162828026052744/byon-20260630.htm" TargetMode="External"/><Relationship Id="rId36" Type="http://schemas.openxmlformats.org/officeDocument/2006/relationships/hyperlink" Target="https://www.sec.gov/ix?doc=/Archives/edgar/data/1130713/000114036126000262/ef20062330_8k.htm" TargetMode="External"/><Relationship Id="rId37" Type="http://schemas.openxmlformats.org/officeDocument/2006/relationships/hyperlink" Target="https://www.sec.gov/ix?doc=/Archives/edgar/data/1130713/000114036126000846/ef20062677_8k.htm" TargetMode="External"/><Relationship Id="rId38" Type="http://schemas.openxmlformats.org/officeDocument/2006/relationships/hyperlink" Target="https://www.sec.gov/ix?doc=/Archives/edgar/data/1130713/000113071326000010/byon-20251230.htm" TargetMode="External"/><Relationship Id="rId39" Type="http://schemas.openxmlformats.org/officeDocument/2006/relationships/hyperlink" Target="https://www.sec.gov/ix?doc=/Archives/edgar/data/1130713/000114036126012893/ef20069679_8k.htm" TargetMode="External"/><Relationship Id="rId40" Type="http://schemas.openxmlformats.org/officeDocument/2006/relationships/hyperlink" Target="https://www.sec.gov/ix?doc=/Archives/edgar/data/1130713/000114036126012981/ef20069680_8k.htm" TargetMode="External"/><Relationship Id="rId41" Type="http://schemas.openxmlformats.org/officeDocument/2006/relationships/hyperlink" Target="https://www.sec.gov/ix?doc=/Archives/edgar/data/1130713/000114036126020026/ef20072655_8ka.htm" TargetMode="External"/><Relationship Id="rId42" Type="http://schemas.openxmlformats.org/officeDocument/2006/relationships/hyperlink" Target="https://www.sec.gov/ix?doc=/Archives/edgar/data/1130713/000113071326000043/bbby-20260514.htm" TargetMode="External"/><Relationship Id="rId43" Type="http://schemas.openxmlformats.org/officeDocument/2006/relationships/hyperlink" Target="https://www.sec.gov/ix?doc=/Archives/edgar/data/1130713/000113071326000046/bbby-20260515.htm" TargetMode="External"/><Relationship Id="rId44" Type="http://schemas.openxmlformats.org/officeDocument/2006/relationships/hyperlink" Target="https://www.sec.gov/ix?doc=/Archives/edgar/data/1130713/000114036126025607/ef20076327_8k.htm" TargetMode="External"/><Relationship Id="rId45" Type="http://schemas.openxmlformats.org/officeDocument/2006/relationships/hyperlink" Target="https://www.sec.gov/ix?doc=/Archives/edgar/data/1130713/000114036126027094/ef20077159_8k.htm" TargetMode="External"/><Relationship Id="rId46" Type="http://schemas.openxmlformats.org/officeDocument/2006/relationships/hyperlink" Target="https://www.sec.gov/ix?doc=/Archives/edgar/data/1130713/000114036126028107/ef20077593_8k.htm" TargetMode="External"/><Relationship Id="rId47" Type="http://schemas.openxmlformats.org/officeDocument/2006/relationships/hyperlink" Target="https://www.sec.gov/ix?doc=/Archives/edgar/data/1130713/000114036126029774/ef20078728_8k.htm" TargetMode="External"/><Relationship Id="rId48" Type="http://schemas.openxmlformats.org/officeDocument/2006/relationships/hyperlink" Target="https://www.sec.gov/ix?doc=/Archives/edgar/data/1130713/000114036126029776/ef20078841_8ka.htm" TargetMode="External"/><Relationship Id="rId49" Type="http://schemas.openxmlformats.org/officeDocument/2006/relationships/hyperlink" Target="https://www.sec.gov/ix?doc=/Archives/edgar/data/1130713/000162828026052552/byon-20260804.htm" TargetMode="External"/><Relationship Id="rId50" Type="http://schemas.openxmlformats.org/officeDocument/2006/relationships/hyperlink" Target="https://www.sec.gov/ix?doc=/Archives/edgar/data/1130713/000114036126031285/ef20079468_8k.htm" TargetMode="External"/><Relationship Id="rId51" Type="http://schemas.openxmlformats.org/officeDocument/2006/relationships/hyperlink" Target="https://www.sec.gov/ix?doc=/Archives/edgar/data/1130713/000114036126031294/ef20079337_8k.htm" TargetMode="External"/><Relationship Id="rId52" Type="http://schemas.openxmlformats.org/officeDocument/2006/relationships/hyperlink" Target="https://www.sec.gov/ix?doc=/Archives/edgar/data/1130713/000114036126031414/ef20079516_8k.htm" TargetMode="External"/><Relationship Id="rId53" Type="http://schemas.openxmlformats.org/officeDocument/2006/relationships/hyperlink" Target="https://www.sec.gov/ix?doc=/Archives/edgar/data/1130713/000114036126032653/ef20079981_8k.htm" TargetMode="External"/><Relationship Id="rId54" Type="http://schemas.openxmlformats.org/officeDocument/2006/relationships/hyperlink" Target="https://www.sec.gov/ix?doc=/Archives/edgar/data/1130713/000114036126033194/ef20080088_8k.htm" TargetMode="External"/><Relationship Id="rId55" Type="http://schemas.openxmlformats.org/officeDocument/2006/relationships/hyperlink" Target="https://www.sec.gov/Archives/edgar/data/1130713/000114036126033179/ef20080090_8-a12b.htm" TargetMode="External"/><Relationship Id="rId56" Type="http://schemas.openxmlformats.org/officeDocument/2006/relationships/hyperlink" Target="https://www.sec.gov/Archives/edgar/data/1130713/000114036126033179/ef20080090_8-a12b.htm" TargetMode="External"/><Relationship Id="rId57" Type="http://schemas.openxmlformats.org/officeDocument/2006/relationships/image" Target="media/image2.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33771</Words>
  <Characters>179084</Characters>
  <CharactersWithSpaces>212669</CharactersWithSpaces>
  <Paragraphs>1345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