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0" w:after="0"/>
        <w:ind w:left="0" w:right="0" w:firstLine="270"/>
        <w:jc w:val="center"/>
        <w:rPr/>
      </w:pPr>
      <w:r>
        <w:rPr>
          <w:color w:val="000000"/>
        </w:rPr>
        <w:t> </w:t>
      </w:r>
      <w:r>
        <w:rPr>
          <w:rFonts w:ascii="Times New Roman;sans-serif" w:hAnsi="Times New Roman;sans-serif"/>
          <w:b/>
          <w:color w:val="000000"/>
          <w:sz w:val="18"/>
        </w:rPr>
        <w:t xml:space="preserve">For the quarterly period ended March 31, 2023 </w:t>
      </w:r>
    </w:p>
    <w:p>
      <w:pPr>
        <w:pStyle w:val="TextBody"/>
        <w:spacing w:lineRule="auto" w:line="288" w:before="0" w:after="0"/>
        <w:jc w:val="center"/>
        <w:rPr>
          <w:color w:val="000000"/>
        </w:rPr>
      </w:pPr>
      <w:r>
        <w:rPr>
          <w:color w:val="000000"/>
        </w:rPr>
        <w:t> </w:t>
      </w:r>
    </w:p>
    <w:p>
      <w:pPr>
        <w:pStyle w:val="TextBody"/>
        <w:spacing w:lineRule="auto" w:line="288" w:before="0" w:after="0"/>
        <w:jc w:val="center"/>
        <w:rPr/>
      </w:pPr>
      <w:r>
        <w:rPr>
          <w:rFonts w:ascii="Times New Roman;sans-serif" w:hAnsi="Times New Roman;sans-serif"/>
          <w:b/>
          <w:color w:val="000000"/>
          <w:sz w:val="18"/>
        </w:rPr>
        <w:t>Or</w:t>
      </w: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000-49799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OVERSTOCK.COM, INC.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 </w:t>
      </w:r>
    </w:p>
    <w:tbl>
      <w:tblPr>
        <w:tblW w:w="7596" w:type="dxa"/>
        <w:jc w:val="left"/>
        <w:tblInd w:w="0" w:type="dxa"/>
        <w:tblCellMar>
          <w:top w:w="28" w:type="dxa"/>
          <w:left w:w="28" w:type="dxa"/>
          <w:bottom w:w="28" w:type="dxa"/>
          <w:right w:w="28" w:type="dxa"/>
        </w:tblCellMar>
      </w:tblPr>
      <w:tblGrid>
        <w:gridCol w:w="531"/>
        <w:gridCol w:w="466"/>
        <w:gridCol w:w="466"/>
        <w:gridCol w:w="466"/>
        <w:gridCol w:w="466"/>
        <w:gridCol w:w="466"/>
        <w:gridCol w:w="466"/>
        <w:gridCol w:w="466"/>
        <w:gridCol w:w="491"/>
        <w:gridCol w:w="109"/>
        <w:gridCol w:w="109"/>
        <w:gridCol w:w="109"/>
        <w:gridCol w:w="870"/>
        <w:gridCol w:w="870"/>
        <w:gridCol w:w="1245"/>
      </w:tblGrid>
      <w:tr>
        <w:trPr/>
        <w:tc>
          <w:tcPr>
            <w:tcW w:w="53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r>
      <w:tr>
        <w:trPr/>
        <w:tc>
          <w:tcPr>
            <w:tcW w:w="42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87-0634302</w:t>
            </w:r>
          </w:p>
        </w:tc>
      </w:tr>
      <w:tr>
        <w:trPr/>
        <w:tc>
          <w:tcPr>
            <w:tcW w:w="42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Number)</w:t>
            </w:r>
          </w:p>
        </w:tc>
      </w:tr>
      <w:tr>
        <w:trPr/>
        <w:tc>
          <w:tcPr>
            <w:tcW w:w="42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799 West Coliseum Way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Midvale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Utah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84047</w:t>
            </w:r>
          </w:p>
        </w:tc>
      </w:tr>
      <w:tr>
        <w:trPr/>
        <w:tc>
          <w:tcPr>
            <w:tcW w:w="42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(801) 947-3100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spacing w:before="0" w:after="0"/>
        <w:ind w:left="0" w:right="0" w:firstLine="27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971" w:type="dxa"/>
        <w:jc w:val="center"/>
        <w:tblInd w:w="0" w:type="dxa"/>
        <w:tblCellMar>
          <w:top w:w="28" w:type="dxa"/>
          <w:left w:w="28" w:type="dxa"/>
          <w:bottom w:w="28" w:type="dxa"/>
          <w:right w:w="28" w:type="dxa"/>
        </w:tblCellMar>
      </w:tblPr>
      <w:tblGrid>
        <w:gridCol w:w="935"/>
        <w:gridCol w:w="824"/>
        <w:gridCol w:w="835"/>
        <w:gridCol w:w="109"/>
        <w:gridCol w:w="109"/>
        <w:gridCol w:w="109"/>
        <w:gridCol w:w="484"/>
        <w:gridCol w:w="484"/>
        <w:gridCol w:w="486"/>
        <w:gridCol w:w="109"/>
        <w:gridCol w:w="109"/>
        <w:gridCol w:w="109"/>
        <w:gridCol w:w="956"/>
        <w:gridCol w:w="956"/>
        <w:gridCol w:w="1357"/>
      </w:tblGrid>
      <w:tr>
        <w:trPr/>
        <w:tc>
          <w:tcPr>
            <w:tcW w:w="935"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5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OSTK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Market</w:t>
            </w:r>
          </w:p>
        </w:tc>
      </w:tr>
    </w:tbl>
    <w:p>
      <w:pPr>
        <w:pStyle w:val="TextBody"/>
        <w:spacing w:before="0" w:after="0"/>
        <w:ind w:left="0" w:right="0" w:firstLine="270"/>
        <w:rPr/>
      </w:pPr>
      <w:r>
        <w:rPr/>
      </w:r>
    </w:p>
    <w:p>
      <w:pPr>
        <w:pStyle w:val="TextBody"/>
        <w:spacing w:lineRule="auto" w:line="288" w:before="0" w:after="0"/>
        <w:ind w:left="0" w:right="0" w:firstLine="270"/>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No </w:t>
      </w:r>
      <w:r>
        <w:rPr>
          <w:color w:val="000000"/>
        </w:rPr>
        <w:t>☐</w:t>
      </w:r>
    </w:p>
    <w:p>
      <w:pPr>
        <w:pStyle w:val="TextBody"/>
        <w:spacing w:lineRule="auto" w:line="288" w:before="0" w:after="0"/>
        <w:ind w:left="0" w:right="0" w:firstLine="270"/>
        <w:rPr>
          <w:color w:val="000000"/>
        </w:rPr>
      </w:pPr>
      <w:r>
        <w:rPr>
          <w:color w:val="000000"/>
        </w:rPr>
        <w:t> </w:t>
      </w:r>
    </w:p>
    <w:p>
      <w:pPr>
        <w:pStyle w:val="TextBody"/>
        <w:spacing w:lineRule="auto" w:line="288" w:before="0" w:after="0"/>
        <w:ind w:left="0" w:right="0" w:firstLine="270"/>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No </w:t>
      </w:r>
      <w:r>
        <w:rPr>
          <w:color w:val="000000"/>
        </w:rPr>
        <w:t>☐</w:t>
      </w:r>
    </w:p>
    <w:p>
      <w:pPr>
        <w:pStyle w:val="TextBody"/>
        <w:spacing w:lineRule="auto" w:line="288" w:before="0" w:after="0"/>
        <w:ind w:left="0" w:right="0" w:firstLine="270"/>
        <w:rPr>
          <w:color w:val="000000"/>
        </w:rPr>
      </w:pPr>
      <w:r>
        <w:rPr>
          <w:color w:val="000000"/>
        </w:rPr>
        <w:t> </w:t>
      </w:r>
    </w:p>
    <w:p>
      <w:pPr>
        <w:pStyle w:val="TextBody"/>
        <w:spacing w:lineRule="auto" w:line="288" w:before="0" w:after="0"/>
        <w:ind w:left="0" w:right="0" w:firstLine="27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before="0" w:after="0"/>
        <w:ind w:left="0" w:right="0" w:firstLine="270"/>
        <w:rPr/>
      </w:pPr>
      <w:r>
        <w:rPr/>
      </w:r>
    </w:p>
    <w:p>
      <w:pPr>
        <w:pStyle w:val="TextBody"/>
        <w:spacing w:lineRule="auto" w:line="288" w:before="0" w:after="0"/>
        <w:ind w:left="0" w:right="0" w:firstLine="27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spacing w:before="0" w:after="0"/>
        <w:ind w:left="0" w:right="0" w:firstLine="270"/>
        <w:rPr/>
      </w:pPr>
      <w:r>
        <w:rPr/>
      </w:r>
    </w:p>
    <w:p>
      <w:pPr>
        <w:pStyle w:val="TextBody"/>
        <w:spacing w:lineRule="auto" w:line="288" w:before="0" w:after="0"/>
        <w:ind w:left="0" w:right="0" w:firstLine="270"/>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r>
        <w:rPr>
          <w:color w:val="000000"/>
        </w:rPr>
        <w:t xml:space="preserve">☒ </w:t>
      </w:r>
    </w:p>
    <w:p>
      <w:pPr>
        <w:pStyle w:val="TextBody"/>
        <w:spacing w:before="0" w:after="0"/>
        <w:ind w:left="0" w:right="0" w:firstLine="270"/>
        <w:rPr/>
      </w:pPr>
      <w:r>
        <w:rPr/>
      </w:r>
    </w:p>
    <w:p>
      <w:pPr>
        <w:pStyle w:val="TextBody"/>
        <w:spacing w:lineRule="auto" w:line="288" w:before="0" w:after="0"/>
        <w:ind w:left="0" w:right="0" w:firstLine="270"/>
        <w:rPr>
          <w:rFonts w:ascii="Times New Roman;sans-serif" w:hAnsi="Times New Roman;sans-serif"/>
          <w:b w:val="false"/>
          <w:color w:val="000000"/>
          <w:sz w:val="18"/>
        </w:rPr>
      </w:pPr>
      <w:r>
        <w:rPr>
          <w:rFonts w:ascii="Times New Roman;sans-serif" w:hAnsi="Times New Roman;sans-serif"/>
          <w:b w:val="false"/>
          <w:color w:val="000000"/>
          <w:sz w:val="18"/>
        </w:rPr>
        <w:t xml:space="preserve">45,199,036 shares of the registrant's common stock, par value $0.0001, are outstanding on April 28, 2023.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 TO QUARTERLY REPORT ON 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0" w:after="0"/>
        <w:jc w:val="center"/>
        <w:rPr>
          <w:color w:val="000000"/>
        </w:rPr>
      </w:pPr>
      <w:r>
        <w:rPr>
          <w:color w:val="000000"/>
        </w:rPr>
        <w:t> </w:t>
      </w:r>
    </w:p>
    <w:tbl>
      <w:tblPr>
        <w:tblW w:w="9878" w:type="dxa"/>
        <w:jc w:val="left"/>
        <w:tblInd w:w="0" w:type="dxa"/>
        <w:tblCellMar>
          <w:top w:w="28" w:type="dxa"/>
          <w:left w:w="28" w:type="dxa"/>
          <w:bottom w:w="28" w:type="dxa"/>
          <w:right w:w="28" w:type="dxa"/>
        </w:tblCellMar>
      </w:tblPr>
      <w:tblGrid>
        <w:gridCol w:w="344"/>
        <w:gridCol w:w="301"/>
        <w:gridCol w:w="301"/>
        <w:gridCol w:w="2442"/>
        <w:gridCol w:w="2442"/>
        <w:gridCol w:w="2450"/>
        <w:gridCol w:w="464"/>
        <w:gridCol w:w="464"/>
        <w:gridCol w:w="670"/>
      </w:tblGrid>
      <w:tr>
        <w:trPr/>
        <w:tc>
          <w:tcPr>
            <w:tcW w:w="344"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2442" w:type="dxa"/>
            <w:tcBorders/>
            <w:shd w:fill="auto" w:val="clear"/>
            <w:vAlign w:val="center"/>
          </w:tcPr>
          <w:p>
            <w:pPr>
              <w:pStyle w:val="TableContents"/>
              <w:spacing w:before="0" w:after="283"/>
              <w:rPr>
                <w:sz w:val="4"/>
                <w:szCs w:val="4"/>
              </w:rPr>
            </w:pPr>
            <w:r>
              <w:rPr>
                <w:sz w:val="4"/>
                <w:szCs w:val="4"/>
              </w:rPr>
            </w:r>
          </w:p>
        </w:tc>
        <w:tc>
          <w:tcPr>
            <w:tcW w:w="2442" w:type="dxa"/>
            <w:tcBorders/>
            <w:shd w:fill="auto" w:val="clear"/>
            <w:vAlign w:val="center"/>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878"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4bb43b2d2b0478cad351ad622cc6a33_13">
              <w:r>
                <w:rPr>
                  <w:rStyle w:val="InternetLink"/>
                  <w:rFonts w:ascii="Times New Roman;sans-serif" w:hAnsi="Times New Roman;sans-serif"/>
                  <w:b/>
                  <w:strike w:val="false"/>
                  <w:dstrike w:val="false"/>
                  <w:color w:val="000000"/>
                  <w:sz w:val="20"/>
                  <w:u w:val="none"/>
                  <w:effect w:val="none"/>
                </w:rPr>
                <w:t>PART I. FINANCIAL INFORMATION</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16">
              <w:r>
                <w:rPr>
                  <w:rStyle w:val="InternetLink"/>
                  <w:rFonts w:ascii="Times New Roman;sans-serif" w:hAnsi="Times New Roman;sans-serif"/>
                  <w:b w:val="false"/>
                  <w:color w:val="0000FF"/>
                  <w:sz w:val="20"/>
                  <w:u w:val="single"/>
                </w:rPr>
                <w:t>Financial Statements (Unaudited)</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16">
              <w:r>
                <w:rPr>
                  <w:rStyle w:val="InternetLink"/>
                  <w:rFonts w:ascii="Times New Roman;sans-serif" w:hAnsi="Times New Roman;sans-serif"/>
                  <w:b w:val="false"/>
                  <w:strike w:val="false"/>
                  <w:dstrike w:val="false"/>
                  <w:color w:val="000000"/>
                  <w:sz w:val="20"/>
                  <w:u w:val="none"/>
                  <w:effect w:val="none"/>
                </w:rPr>
                <w:t>5</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19">
              <w:r>
                <w:rPr>
                  <w:rStyle w:val="InternetLink"/>
                  <w:rFonts w:ascii="Times New Roman;sans-serif" w:hAnsi="Times New Roman;sans-serif"/>
                  <w:b w:val="false"/>
                  <w:color w:val="0000FF"/>
                  <w:sz w:val="20"/>
                  <w:u w:val="single"/>
                </w:rPr>
                <w:t>Consolidated Balance Sheets</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19">
              <w:r>
                <w:rPr>
                  <w:rStyle w:val="InternetLink"/>
                  <w:rFonts w:ascii="Times New Roman;sans-serif" w:hAnsi="Times New Roman;sans-serif"/>
                  <w:b w:val="false"/>
                  <w:strike w:val="false"/>
                  <w:dstrike w:val="false"/>
                  <w:color w:val="000000"/>
                  <w:sz w:val="20"/>
                  <w:u w:val="none"/>
                  <w:effect w:val="none"/>
                </w:rPr>
                <w:t>5</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22">
              <w:r>
                <w:rPr>
                  <w:rStyle w:val="InternetLink"/>
                </w:rPr>
                <w:t>Consolidated Statements of</w:t>
              </w:r>
            </w:hyperlink>
            <w:hyperlink w:anchor="if4bb43b2d2b0478cad351ad622cc6a33_25">
              <w:r>
                <w:rPr>
                  <w:rStyle w:val="InternetLink"/>
                </w:rPr>
                <w:t xml:space="preserve"> Operations</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22">
              <w:r>
                <w:rPr>
                  <w:rStyle w:val="InternetLink"/>
                  <w:rFonts w:ascii="Times New Roman;sans-serif" w:hAnsi="Times New Roman;sans-serif"/>
                  <w:b w:val="false"/>
                  <w:strike w:val="false"/>
                  <w:dstrike w:val="false"/>
                  <w:color w:val="000000"/>
                  <w:sz w:val="20"/>
                  <w:u w:val="none"/>
                  <w:effect w:val="none"/>
                </w:rPr>
                <w:t>6</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25">
              <w:r>
                <w:rPr>
                  <w:rStyle w:val="InternetLink"/>
                  <w:rFonts w:ascii="Times New Roman;sans-serif" w:hAnsi="Times New Roman;sans-serif"/>
                  <w:b w:val="false"/>
                  <w:color w:val="0000FF"/>
                  <w:sz w:val="20"/>
                  <w:u w:val="single"/>
                </w:rPr>
                <w:t>Consolidated Statements of Comprehensive Income (Loss)</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25">
              <w:r>
                <w:rPr>
                  <w:rStyle w:val="InternetLink"/>
                  <w:rFonts w:ascii="Times New Roman;sans-serif" w:hAnsi="Times New Roman;sans-serif"/>
                  <w:b w:val="false"/>
                  <w:strike w:val="false"/>
                  <w:dstrike w:val="false"/>
                  <w:color w:val="000000"/>
                  <w:sz w:val="20"/>
                  <w:u w:val="none"/>
                  <w:effect w:val="none"/>
                </w:rPr>
                <w:t>7</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28">
              <w:r>
                <w:rPr>
                  <w:rStyle w:val="InternetLink"/>
                  <w:rFonts w:ascii="Times New Roman;sans-serif" w:hAnsi="Times New Roman;sans-serif"/>
                  <w:b w:val="false"/>
                  <w:color w:val="0000FF"/>
                  <w:sz w:val="20"/>
                  <w:u w:val="single"/>
                </w:rPr>
                <w:t>Consolidated Statements of Changes in Stockholders' Equity</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28">
              <w:r>
                <w:rPr>
                  <w:rStyle w:val="InternetLink"/>
                  <w:rFonts w:ascii="Times New Roman;sans-serif" w:hAnsi="Times New Roman;sans-serif"/>
                  <w:b w:val="false"/>
                  <w:strike w:val="false"/>
                  <w:dstrike w:val="false"/>
                  <w:color w:val="000000"/>
                  <w:sz w:val="20"/>
                  <w:u w:val="none"/>
                  <w:effect w:val="none"/>
                </w:rPr>
                <w:t>8</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31">
              <w:r>
                <w:rPr>
                  <w:rStyle w:val="InternetLink"/>
                  <w:rFonts w:ascii="Times New Roman;sans-serif" w:hAnsi="Times New Roman;sans-serif"/>
                  <w:b w:val="false"/>
                  <w:color w:val="0000FF"/>
                  <w:sz w:val="20"/>
                  <w:u w:val="single"/>
                </w:rPr>
                <w:t>Consolidated Statements of Cash Flows</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31">
              <w:r>
                <w:rPr>
                  <w:rStyle w:val="InternetLink"/>
                  <w:rFonts w:ascii="Times New Roman;sans-serif" w:hAnsi="Times New Roman;sans-serif"/>
                  <w:b w:val="false"/>
                  <w:strike w:val="false"/>
                  <w:dstrike w:val="false"/>
                  <w:color w:val="000000"/>
                  <w:sz w:val="20"/>
                  <w:u w:val="none"/>
                  <w:effect w:val="none"/>
                </w:rPr>
                <w:t>9</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34">
              <w:r>
                <w:rPr>
                  <w:rStyle w:val="InternetLink"/>
                  <w:rFonts w:ascii="Times New Roman;sans-serif" w:hAnsi="Times New Roman;sans-serif"/>
                  <w:b w:val="false"/>
                  <w:color w:val="0000FF"/>
                  <w:sz w:val="20"/>
                  <w:u w:val="single"/>
                </w:rPr>
                <w:t>Notes to Unaudited Consolidated Financial Statements</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34">
              <w:r>
                <w:rPr>
                  <w:rStyle w:val="InternetLink"/>
                  <w:rFonts w:ascii="Times New Roman;sans-serif" w:hAnsi="Times New Roman;sans-serif"/>
                  <w:b w:val="false"/>
                  <w:strike w:val="false"/>
                  <w:dstrike w:val="false"/>
                  <w:color w:val="000000"/>
                  <w:sz w:val="20"/>
                  <w:u w:val="none"/>
                  <w:effect w:val="none"/>
                </w:rPr>
                <w:t>10</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79">
              <w:r>
                <w:rPr>
                  <w:rStyle w:val="InternetLink"/>
                  <w:rFonts w:ascii="Times New Roman;sans-serif" w:hAnsi="Times New Roman;sans-serif"/>
                  <w:b w:val="false"/>
                  <w:strike w:val="false"/>
                  <w:dstrike w:val="false"/>
                  <w:color w:val="000000"/>
                  <w:sz w:val="20"/>
                  <w:u w:val="none"/>
                  <w:effect w:val="none"/>
                </w:rPr>
                <w:t>19</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97">
              <w:r>
                <w:rPr>
                  <w:rStyle w:val="InternetLink"/>
                  <w:rFonts w:ascii="Times New Roman;sans-serif" w:hAnsi="Times New Roman;sans-serif"/>
                  <w:b w:val="false"/>
                  <w:color w:val="0000FF"/>
                  <w:sz w:val="20"/>
                  <w:u w:val="single"/>
                </w:rPr>
                <w:t>Quantitative and Qualitative Disclosures About Market Risk</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97">
              <w:r>
                <w:rPr>
                  <w:rStyle w:val="InternetLink"/>
                  <w:rFonts w:ascii="Times New Roman;sans-serif" w:hAnsi="Times New Roman;sans-serif"/>
                  <w:b w:val="false"/>
                  <w:strike w:val="false"/>
                  <w:dstrike w:val="false"/>
                  <w:color w:val="000000"/>
                  <w:sz w:val="20"/>
                  <w:u w:val="none"/>
                  <w:effect w:val="none"/>
                </w:rPr>
                <w:t>29</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100">
              <w:r>
                <w:rPr>
                  <w:rStyle w:val="InternetLink"/>
                  <w:rFonts w:ascii="Times New Roman;sans-serif" w:hAnsi="Times New Roman;sans-serif"/>
                  <w:b w:val="false"/>
                  <w:color w:val="0000FF"/>
                  <w:sz w:val="20"/>
                  <w:u w:val="single"/>
                </w:rPr>
                <w:t>Controls and Procedures</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100">
              <w:r>
                <w:rPr>
                  <w:rStyle w:val="InternetLink"/>
                  <w:rFonts w:ascii="Times New Roman;sans-serif" w:hAnsi="Times New Roman;sans-serif"/>
                  <w:b w:val="false"/>
                  <w:strike w:val="false"/>
                  <w:dstrike w:val="false"/>
                  <w:color w:val="000000"/>
                  <w:sz w:val="20"/>
                  <w:u w:val="none"/>
                  <w:effect w:val="none"/>
                </w:rPr>
                <w:t>30</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878"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4bb43b2d2b0478cad351ad622cc6a33_103">
              <w:r>
                <w:rPr>
                  <w:rStyle w:val="InternetLink"/>
                  <w:rFonts w:ascii="Times New Roman;sans-serif" w:hAnsi="Times New Roman;sans-serif"/>
                  <w:b/>
                  <w:strike w:val="false"/>
                  <w:dstrike w:val="false"/>
                  <w:color w:val="000000"/>
                  <w:sz w:val="20"/>
                  <w:u w:val="none"/>
                  <w:effect w:val="none"/>
                </w:rPr>
                <w:t>PART II. OTHER INFORMATION</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106">
              <w:r>
                <w:rPr>
                  <w:rStyle w:val="InternetLink"/>
                  <w:rFonts w:ascii="Times New Roman;sans-serif" w:hAnsi="Times New Roman;sans-serif"/>
                  <w:b w:val="false"/>
                  <w:color w:val="0000FF"/>
                  <w:sz w:val="20"/>
                  <w:u w:val="single"/>
                </w:rPr>
                <w:t>Legal Proceedings</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106">
              <w:r>
                <w:rPr>
                  <w:rStyle w:val="InternetLink"/>
                  <w:rFonts w:ascii="Times New Roman;sans-serif" w:hAnsi="Times New Roman;sans-serif"/>
                  <w:b w:val="false"/>
                  <w:strike w:val="false"/>
                  <w:dstrike w:val="false"/>
                  <w:color w:val="000000"/>
                  <w:sz w:val="20"/>
                  <w:u w:val="none"/>
                  <w:effect w:val="none"/>
                </w:rPr>
                <w:t>31</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109">
              <w:r>
                <w:rPr>
                  <w:rStyle w:val="InternetLink"/>
                  <w:rFonts w:ascii="Times New Roman;sans-serif" w:hAnsi="Times New Roman;sans-serif"/>
                  <w:b w:val="false"/>
                  <w:color w:val="0000FF"/>
                  <w:sz w:val="20"/>
                  <w:u w:val="single"/>
                </w:rPr>
                <w:t>Risk Factors</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109">
              <w:r>
                <w:rPr>
                  <w:rStyle w:val="InternetLink"/>
                  <w:rFonts w:ascii="Times New Roman;sans-serif" w:hAnsi="Times New Roman;sans-serif"/>
                  <w:b w:val="false"/>
                  <w:strike w:val="false"/>
                  <w:dstrike w:val="false"/>
                  <w:color w:val="000000"/>
                  <w:sz w:val="20"/>
                  <w:u w:val="none"/>
                  <w:effect w:val="none"/>
                </w:rPr>
                <w:t>31</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112">
              <w:r>
                <w:rPr>
                  <w:rStyle w:val="InternetLink"/>
                  <w:rFonts w:ascii="Times New Roman;sans-serif" w:hAnsi="Times New Roman;sans-serif"/>
                  <w:b w:val="false"/>
                  <w:color w:val="0000FF"/>
                  <w:sz w:val="20"/>
                  <w:u w:val="single"/>
                </w:rPr>
                <w:t>Unregistered Sales of Equity Securities and Use of Proceeds</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112">
              <w:r>
                <w:rPr>
                  <w:rStyle w:val="InternetLink"/>
                  <w:rFonts w:ascii="Times New Roman;sans-serif" w:hAnsi="Times New Roman;sans-serif"/>
                  <w:b w:val="false"/>
                  <w:strike w:val="false"/>
                  <w:dstrike w:val="false"/>
                  <w:color w:val="000000"/>
                  <w:sz w:val="20"/>
                  <w:u w:val="none"/>
                  <w:effect w:val="none"/>
                </w:rPr>
                <w:t>31</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115">
              <w:r>
                <w:rPr>
                  <w:rStyle w:val="InternetLink"/>
                  <w:rFonts w:ascii="Times New Roman;sans-serif" w:hAnsi="Times New Roman;sans-serif"/>
                  <w:b w:val="false"/>
                  <w:color w:val="0000FF"/>
                  <w:sz w:val="20"/>
                  <w:u w:val="single"/>
                </w:rPr>
                <w:t>Defaults Upon Senior Securities</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115">
              <w:r>
                <w:rPr>
                  <w:rStyle w:val="InternetLink"/>
                  <w:rFonts w:ascii="Times New Roman;sans-serif" w:hAnsi="Times New Roman;sans-serif"/>
                  <w:b w:val="false"/>
                  <w:strike w:val="false"/>
                  <w:dstrike w:val="false"/>
                  <w:color w:val="000000"/>
                  <w:sz w:val="20"/>
                  <w:u w:val="none"/>
                  <w:effect w:val="none"/>
                </w:rPr>
                <w:t>31</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118">
              <w:r>
                <w:rPr>
                  <w:rStyle w:val="InternetLink"/>
                  <w:rFonts w:ascii="Times New Roman;sans-serif" w:hAnsi="Times New Roman;sans-serif"/>
                  <w:b w:val="false"/>
                  <w:color w:val="0000FF"/>
                  <w:sz w:val="20"/>
                  <w:u w:val="single"/>
                </w:rPr>
                <w:t>Mine Safety Disclosures</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118">
              <w:r>
                <w:rPr>
                  <w:rStyle w:val="InternetLink"/>
                  <w:rFonts w:ascii="Times New Roman;sans-serif" w:hAnsi="Times New Roman;sans-serif"/>
                  <w:b w:val="false"/>
                  <w:strike w:val="false"/>
                  <w:dstrike w:val="false"/>
                  <w:color w:val="000000"/>
                  <w:sz w:val="20"/>
                  <w:u w:val="none"/>
                  <w:effect w:val="none"/>
                </w:rPr>
                <w:t>31</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121">
              <w:r>
                <w:rPr>
                  <w:rStyle w:val="InternetLink"/>
                  <w:rFonts w:ascii="Times New Roman;sans-serif" w:hAnsi="Times New Roman;sans-serif"/>
                  <w:b w:val="false"/>
                  <w:color w:val="0000FF"/>
                  <w:sz w:val="20"/>
                  <w:u w:val="single"/>
                </w:rPr>
                <w:t>Other Information</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121">
              <w:r>
                <w:rPr>
                  <w:rStyle w:val="InternetLink"/>
                  <w:rFonts w:ascii="Times New Roman;sans-serif" w:hAnsi="Times New Roman;sans-serif"/>
                  <w:b w:val="false"/>
                  <w:strike w:val="false"/>
                  <w:dstrike w:val="false"/>
                  <w:color w:val="000000"/>
                  <w:sz w:val="20"/>
                  <w:u w:val="none"/>
                  <w:effect w:val="none"/>
                </w:rPr>
                <w:t>31</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124">
              <w:r>
                <w:rPr>
                  <w:rStyle w:val="InternetLink"/>
                  <w:rFonts w:ascii="Times New Roman;sans-serif" w:hAnsi="Times New Roman;sans-serif"/>
                  <w:b w:val="false"/>
                  <w:color w:val="0000FF"/>
                  <w:sz w:val="20"/>
                  <w:u w:val="single"/>
                </w:rPr>
                <w:t>Exhibits</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124">
              <w:r>
                <w:rPr>
                  <w:rStyle w:val="InternetLink"/>
                  <w:rFonts w:ascii="Times New Roman;sans-serif" w:hAnsi="Times New Roman;sans-serif"/>
                  <w:b w:val="false"/>
                  <w:strike w:val="false"/>
                  <w:dstrike w:val="false"/>
                  <w:color w:val="000000"/>
                  <w:sz w:val="20"/>
                  <w:u w:val="none"/>
                  <w:effect w:val="none"/>
                </w:rPr>
                <w:t>32</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80"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4bb43b2d2b0478cad351ad622cc6a33_127">
              <w:r>
                <w:rPr>
                  <w:rStyle w:val="InternetLink"/>
                  <w:rFonts w:ascii="Times New Roman;sans-serif" w:hAnsi="Times New Roman;sans-serif"/>
                  <w:b w:val="false"/>
                  <w:color w:val="0000FF"/>
                  <w:sz w:val="20"/>
                  <w:u w:val="single"/>
                </w:rPr>
                <w:t>Signature</w:t>
              </w:r>
            </w:hyperlink>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bb43b2d2b0478cad351ad622cc6a33_127">
              <w:r>
                <w:rPr>
                  <w:rStyle w:val="InternetLink"/>
                  <w:rFonts w:ascii="Times New Roman;sans-serif" w:hAnsi="Times New Roman;sans-serif"/>
                  <w:b w:val="false"/>
                  <w:strike w:val="false"/>
                  <w:dstrike w:val="false"/>
                  <w:color w:val="000000"/>
                  <w:sz w:val="20"/>
                  <w:u w:val="none"/>
                  <w:effect w:val="none"/>
                </w:rPr>
                <w:t>33</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Special Cautionary Note Regarding Forward-Looking Statements</w:t>
      </w:r>
    </w:p>
    <w:p>
      <w:pPr>
        <w:pStyle w:val="TextBody"/>
        <w:spacing w:lineRule="auto" w:line="288" w:before="0" w:after="0"/>
        <w:ind w:left="0" w:right="0" w:firstLine="630"/>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Report on Form 10-Q and the documents incorporated herein by reference, and our other public documents and statements our officers and representatives may make from time to time, contain forward-looking statements within the meaning of the federal securities laws. These statements are therefore entitled to the protection of the safe harbor provisions of these laws. You can find many of these statements by looking for words such as "may," "would," "could," "should," "will," "expect," "anticipate," "predict," "project," "potential," "continue," "contemplate," "seek," "assume," "believe," "intend," "plan," "forecast," "goal," "estimate," or other similar expressions which identify these forward-looking statements. </w:t>
      </w:r>
    </w:p>
    <w:p>
      <w:pPr>
        <w:pStyle w:val="TextBody"/>
        <w:spacing w:before="0" w:after="0"/>
        <w:ind w:left="0" w:right="0" w:firstLine="630"/>
        <w:rPr/>
      </w:pPr>
      <w:r>
        <w:rPr/>
      </w:r>
    </w:p>
    <w:p>
      <w:pPr>
        <w:pStyle w:val="TextBody"/>
        <w:spacing w:lineRule="auto" w:line="288" w:before="0" w:after="0"/>
        <w:ind w:left="0" w:right="0" w:firstLine="630"/>
        <w:rPr>
          <w:rFonts w:ascii="Times New Roman;sans-serif" w:hAnsi="Times New Roman;sans-serif"/>
          <w:b w:val="false"/>
          <w:i/>
          <w:color w:val="000000"/>
          <w:sz w:val="20"/>
        </w:rPr>
      </w:pPr>
      <w:r>
        <w:rPr>
          <w:rFonts w:ascii="Times New Roman;sans-serif" w:hAnsi="Times New Roman;sans-serif"/>
          <w:b w:val="false"/>
          <w:i/>
          <w:color w:val="000000"/>
          <w:sz w:val="20"/>
        </w:rPr>
        <w:t>These forward-looking statements involve risks and uncertainties and relate to future events or our future financial or operating performance. These forward-looking statements are not historical facts, and are based on current expectations, estimates and projections about our industry and business, and on management's beliefs and certain assumptions made by management, many of which, by their nature, are inherently uncertain and beyond our control. Accordingly, you are cautioned that any such forward-looking statements are not guarantees of future performance and are subject to assumptions, risks and uncertainties that are difficult to predict, and that actual results and outcomes may be materially different from the results or outcomes expressed or implied by any of our forward-looking statements for a variety of reasons, including among others: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a recession, other economic downturns, inflation, rising interest rates, our increasing exposure to the U.S. housing industry, or other changes in U.S. and global economic conditions or U.S. consumer spending;</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any difficulties we may encounter as a result of our reliance on third-parties that we do not control for the performance of critical functions material to our business, such as carriers, fulfillment partners, and SaaS/IaaS providers;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any inability to compete successfully against existing or future competitors or to effectively market our business and generate customer traffic;</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 xml:space="preserve">any increases in the price of importing into the U.S. or transporting to our customers the types of merchandise we sell or other supply chain challenges that limit our ability to deliver merchandise to our customers in a timely manner; </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any inability to attract and/or retain key personnel;</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any inability to generate and maintain unpaid natural traffic to our Website;</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any inability to optimize and effectively operate our distribution center, warehouse, and customer service operations;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any inability to maintain profitability and/or positive cash flow from operations;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any negative impact from our workforce working on a remote, in-office, or hybrid schedule;</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any challenges that would result in the event of any loss of functionality or unavailability of our Website or reduced performance of our transaction systems;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our exposure to cyber-security risks, risks of data loss and other security breaches;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the risk that the amount of deferred tax assets we consider realizable could be reduced if estimates of future taxable income during the carryforward period are reduced;</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the risk that we may be required to recognize losses relating to our equity and debt investments;</w:t>
      </w:r>
    </w:p>
    <w:p>
      <w:pPr>
        <w:pStyle w:val="TextBody"/>
        <w:spacing w:lineRule="auto" w:line="276" w:before="0" w:after="0"/>
        <w:ind w:left="0" w:right="0" w:hanging="360"/>
        <w:rPr/>
      </w:pPr>
      <w:r>
        <w:rPr>
          <w:color w:val="000000"/>
        </w:rPr>
        <w:t>•</w:t>
      </w:r>
      <w:r>
        <w:rPr>
          <w:rFonts w:ascii="Times New Roman;sans-serif" w:hAnsi="Times New Roman;sans-serif"/>
          <w:b w:val="false"/>
          <w:i/>
          <w:color w:val="000000"/>
          <w:sz w:val="20"/>
        </w:rPr>
        <w:t>the impacts that we would experience if governmental entities or providers of consumer devices and internet browsers further restrict or regulate the use of "cookie" tracking technologies;</w:t>
      </w:r>
    </w:p>
    <w:p>
      <w:pPr>
        <w:pStyle w:val="TextBody"/>
        <w:spacing w:lineRule="auto" w:line="276" w:before="0" w:after="0"/>
        <w:ind w:left="0" w:right="0" w:hanging="360"/>
        <w:rPr/>
      </w:pPr>
      <w:r>
        <w:rPr>
          <w:color w:val="000000"/>
        </w:rPr>
        <w:t>•</w:t>
      </w:r>
      <w:r>
        <w:rPr>
          <w:rFonts w:ascii="Times New Roman;sans-serif" w:hAnsi="Times New Roman;sans-serif"/>
          <w:b w:val="false"/>
          <w:i/>
          <w:color w:val="000000"/>
          <w:sz w:val="20"/>
        </w:rPr>
        <w:t>the impact that any litigation, claims, or regulatory matters could have on our business, financial condition, results of operations, and cash flows;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negative global economic consequences of global conflict, including the ongoing tensions between the United States and Russia, the United States and China, and other effects of the ongoing conflict in Ukraine;</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the possibility that we are unable to protect our proprietary technology and to obtain trademark protection for our marks;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current and future claims of intellectual property infringement to which we are subject;</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any difficulties we may encounter as a result of our reliance on third-parties that we do not control for their representations regarding product compliance with various laws and regulations;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any difficulties we may encounter as a result of our evolving business practices, including our exit from non-home categories and our continuing expansion into international markets;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any inability of Pelion Venture Partners to successfully manage the Medici Ventures, L.P. fund, in which we are the limited partner, or any other entity in which we also have a direct minority interest; and</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the other risks described in this report or in our other public filings.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ind w:left="0" w:right="0" w:firstLine="630"/>
        <w:rPr>
          <w:rFonts w:ascii="Times New Roman;sans-serif" w:hAnsi="Times New Roman;sans-serif"/>
          <w:b w:val="false"/>
          <w:i/>
          <w:color w:val="000000"/>
          <w:sz w:val="20"/>
        </w:rPr>
      </w:pPr>
      <w:r>
        <w:rPr>
          <w:rFonts w:ascii="Times New Roman;sans-serif" w:hAnsi="Times New Roman;sans-serif"/>
          <w:b w:val="false"/>
          <w:i/>
          <w:color w:val="000000"/>
          <w:sz w:val="20"/>
        </w:rPr>
        <w:t>In evaluating all forward-looking statements, you should specifically consider the risks outlined above and in this report, especially under the headings "Special Cautionary Note Regarding Forward-Looking Statements," "Risk Factors," "Legal Proceedings," and "Management's Discussion and Analysis of Financial Condition and Results of Operations." These factors may cause our actual results and outcomes to differ materially from those contemplated by any forward-looking statement. Although we believe that our expectations reflected in the forward-looking statements are reasonable, we cannot guarantee or offer any assurance of future results, levels of activity, performance or achievements or other future events. Our forward-looking statements contained in this report speak only as of the date of this report and, except as required by law, we undertake no obligation to update forward-looking statements to reflect events or circumstances occurring after the date of this report or any changes in our expectations or any change in any events, conditions or circumstances on which any of our forward-looking statements are based.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spacing w:lineRule="auto" w:line="288" w:before="0" w:after="0"/>
        <w:jc w:val="center"/>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center"/>
        <w:tblInd w:w="0" w:type="dxa"/>
        <w:tblCellMar>
          <w:top w:w="28" w:type="dxa"/>
          <w:left w:w="28" w:type="dxa"/>
          <w:bottom w:w="28" w:type="dxa"/>
          <w:right w:w="28" w:type="dxa"/>
        </w:tblCellMar>
      </w:tblPr>
      <w:tblGrid>
        <w:gridCol w:w="2558"/>
        <w:gridCol w:w="2234"/>
        <w:gridCol w:w="2252"/>
        <w:gridCol w:w="249"/>
        <w:gridCol w:w="980"/>
        <w:gridCol w:w="129"/>
        <w:gridCol w:w="129"/>
        <w:gridCol w:w="129"/>
        <w:gridCol w:w="129"/>
        <w:gridCol w:w="249"/>
        <w:gridCol w:w="980"/>
        <w:gridCol w:w="187"/>
      </w:tblGrid>
      <w:tr>
        <w:trPr/>
        <w:tc>
          <w:tcPr>
            <w:tcW w:w="2558"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2252"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c>
      </w:tr>
      <w:tr>
        <w:trPr/>
        <w:tc>
          <w:tcPr>
            <w:tcW w:w="7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374,711 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371,263 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$3,127 and $3,223</w:t>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22,071 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17,693 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18,833 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421,249 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414,509 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107,064 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109,906 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41,439 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including securities measured at fair value of $82,811 and $82,823</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289,124 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296,317 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12,540 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887,389 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878,546 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58"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83,621 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75,130 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68,593 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63,614 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47,123 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44,480 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206,119 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191,142 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34,476 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246,884 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232,720 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auto" w:val="clear"/>
            <w:vAlign w:val="center"/>
          </w:tcPr>
          <w:p>
            <w:pPr>
              <w:pStyle w:val="TableContents"/>
              <w:spacing w:before="0" w:after="283"/>
              <w:rPr>
                <w:sz w:val="4"/>
                <w:szCs w:val="4"/>
              </w:rPr>
            </w:pPr>
            <w:r>
              <w:rPr>
                <w:sz w:val="4"/>
                <w:szCs w:val="4"/>
              </w:rPr>
            </w:r>
          </w:p>
        </w:tc>
        <w:tc>
          <w:tcPr>
            <w:tcW w:w="3161" w:type="dxa"/>
            <w:gridSpan w:val="9"/>
            <w:tcBorders/>
            <w:shd w:fill="auto" w:val="clear"/>
          </w:tcPr>
          <w:p>
            <w:pPr>
              <w:pStyle w:val="TableContents"/>
              <w:spacing w:before="0" w:after="283"/>
              <w:rPr>
                <w:sz w:val="4"/>
                <w:szCs w:val="4"/>
              </w:rPr>
            </w:pPr>
            <w:r>
              <w:rPr>
                <w:sz w:val="4"/>
                <w:szCs w:val="4"/>
              </w:rPr>
            </w:r>
          </w:p>
        </w:tc>
      </w:tr>
      <w:tr>
        <w:trPr/>
        <w:tc>
          <w:tcPr>
            <w:tcW w:w="7044" w:type="dxa"/>
            <w:gridSpan w:val="3"/>
            <w:tcBorders/>
            <w:shd w:fill="auto" w:val="clear"/>
            <w:vAlign w:val="center"/>
          </w:tcPr>
          <w:p>
            <w:pPr>
              <w:pStyle w:val="TableContents"/>
              <w:spacing w:before="0" w:after="283"/>
              <w:rPr>
                <w:sz w:val="4"/>
                <w:szCs w:val="4"/>
              </w:rPr>
            </w:pPr>
            <w:r>
              <w:rPr>
                <w:sz w:val="4"/>
                <w:szCs w:val="4"/>
              </w:rPr>
            </w:r>
          </w:p>
        </w:tc>
        <w:tc>
          <w:tcPr>
            <w:tcW w:w="3161" w:type="dxa"/>
            <w:gridSpan w:val="9"/>
            <w:tcBorders/>
            <w:shd w:fill="auto" w:val="clear"/>
          </w:tcPr>
          <w:p>
            <w:pPr>
              <w:pStyle w:val="TableContents"/>
              <w:spacing w:before="0" w:after="283"/>
              <w:rPr>
                <w:sz w:val="4"/>
                <w:szCs w:val="4"/>
              </w:rPr>
            </w:pPr>
            <w:r>
              <w:rPr>
                <w:sz w:val="4"/>
                <w:szCs w:val="4"/>
              </w:rPr>
            </w:r>
          </w:p>
        </w:tc>
      </w:tr>
      <w:tr>
        <w:trPr/>
        <w:tc>
          <w:tcPr>
            <w:tcW w:w="7044"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authorized shares - 5,000, issued and outstanding - none</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r>
      <w:tr>
        <w:trPr/>
        <w:tc>
          <w:tcPr>
            <w:tcW w:w="7044"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authorized shares - 100,000</w:t>
            </w:r>
          </w:p>
        </w:tc>
        <w:tc>
          <w:tcPr>
            <w:tcW w:w="13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shares - 51,438 and 51,102</w:t>
            </w:r>
          </w:p>
        </w:tc>
        <w:tc>
          <w:tcPr>
            <w:tcW w:w="13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shares - 45,191 and 44,951</w:t>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989,634 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982,718 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(184,136)</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(173,829)</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- 6,247 and 6,151</w:t>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(164,480)</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(162,546)</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r>
      <w:tr>
        <w:trPr/>
        <w:tc>
          <w:tcPr>
            <w:tcW w:w="7044"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640,505 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645,826 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887,389 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878,546 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spacing w:lineRule="auto" w:line="288" w:before="0" w:after="0"/>
        <w:jc w:val="center"/>
        <w:rPr>
          <w:color w:val="000000"/>
        </w:rPr>
      </w:pPr>
      <w:r>
        <w:rPr>
          <w:color w:val="000000"/>
        </w:rPr>
        <w:t> </w:t>
      </w:r>
    </w:p>
    <w:tbl>
      <w:tblPr>
        <w:tblW w:w="7749" w:type="dxa"/>
        <w:jc w:val="center"/>
        <w:tblInd w:w="0" w:type="dxa"/>
        <w:tblCellMar>
          <w:top w:w="28" w:type="dxa"/>
          <w:left w:w="28" w:type="dxa"/>
          <w:bottom w:w="28" w:type="dxa"/>
          <w:right w:w="28" w:type="dxa"/>
        </w:tblCellMar>
      </w:tblPr>
      <w:tblGrid>
        <w:gridCol w:w="1680"/>
        <w:gridCol w:w="1482"/>
        <w:gridCol w:w="1487"/>
        <w:gridCol w:w="211"/>
        <w:gridCol w:w="826"/>
        <w:gridCol w:w="109"/>
        <w:gridCol w:w="109"/>
        <w:gridCol w:w="109"/>
        <w:gridCol w:w="109"/>
        <w:gridCol w:w="211"/>
        <w:gridCol w:w="826"/>
        <w:gridCol w:w="109"/>
        <w:gridCol w:w="109"/>
        <w:gridCol w:w="109"/>
        <w:gridCol w:w="109"/>
        <w:gridCol w:w="154"/>
      </w:tblGrid>
      <w:tr>
        <w:trPr/>
        <w:tc>
          <w:tcPr>
            <w:tcW w:w="1680"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of common stock:</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color w:val="000000"/>
        </w:rPr>
      </w:pPr>
      <w:r>
        <w:rPr>
          <w:color w:val="000000"/>
        </w:rPr>
        <w:t> </w:t>
      </w:r>
    </w:p>
    <w:tbl>
      <w:tblPr>
        <w:tblW w:w="9114" w:type="dxa"/>
        <w:jc w:val="center"/>
        <w:tblInd w:w="0" w:type="dxa"/>
        <w:tblCellMar>
          <w:top w:w="28" w:type="dxa"/>
          <w:left w:w="28" w:type="dxa"/>
          <w:bottom w:w="28" w:type="dxa"/>
          <w:right w:w="28" w:type="dxa"/>
        </w:tblCellMar>
      </w:tblPr>
      <w:tblGrid>
        <w:gridCol w:w="2226"/>
        <w:gridCol w:w="1954"/>
        <w:gridCol w:w="1969"/>
        <w:gridCol w:w="211"/>
        <w:gridCol w:w="796"/>
        <w:gridCol w:w="109"/>
        <w:gridCol w:w="109"/>
        <w:gridCol w:w="109"/>
        <w:gridCol w:w="109"/>
        <w:gridCol w:w="211"/>
        <w:gridCol w:w="721"/>
        <w:gridCol w:w="109"/>
        <w:gridCol w:w="109"/>
        <w:gridCol w:w="109"/>
        <w:gridCol w:w="109"/>
        <w:gridCol w:w="154"/>
      </w:tblGrid>
      <w:tr>
        <w:trPr/>
        <w:tc>
          <w:tcPr>
            <w:tcW w:w="2226"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spacing w:before="0" w:after="283"/>
              <w:rPr>
                <w:sz w:val="4"/>
                <w:szCs w:val="4"/>
              </w:rPr>
            </w:pPr>
            <w:r>
              <w:rPr>
                <w:sz w:val="4"/>
                <w:szCs w:val="4"/>
              </w:rPr>
            </w:r>
          </w:p>
        </w:tc>
        <w:tc>
          <w:tcPr>
            <w:tcW w:w="19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cash flow hedges, net of expense for taxes of $0 and $0</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661"/>
        <w:gridCol w:w="1461"/>
        <w:gridCol w:w="1464"/>
        <w:gridCol w:w="392"/>
        <w:gridCol w:w="1668"/>
        <w:gridCol w:w="202"/>
        <w:gridCol w:w="202"/>
        <w:gridCol w:w="202"/>
        <w:gridCol w:w="202"/>
        <w:gridCol w:w="392"/>
        <w:gridCol w:w="1668"/>
        <w:gridCol w:w="202"/>
        <w:gridCol w:w="109"/>
        <w:gridCol w:w="109"/>
        <w:gridCol w:w="109"/>
        <w:gridCol w:w="162"/>
      </w:tblGrid>
      <w:tr>
        <w:trPr/>
        <w:tc>
          <w:tcPr>
            <w:tcW w:w="1661"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1464"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9716" w:type="dxa"/>
            <w:gridSpan w:val="12"/>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(Unaudited)</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489" w:type="dxa"/>
            <w:gridSpan w:val="4"/>
            <w:tcBorders/>
            <w:shd w:fill="auto" w:val="clear"/>
          </w:tcPr>
          <w:p>
            <w:pPr>
              <w:pStyle w:val="TableContents"/>
              <w:spacing w:before="0" w:after="283"/>
              <w:rPr>
                <w:sz w:val="4"/>
                <w:szCs w:val="4"/>
              </w:rPr>
            </w:pPr>
            <w:r>
              <w:rPr>
                <w:sz w:val="4"/>
                <w:szCs w:val="4"/>
              </w:rPr>
            </w:r>
          </w:p>
        </w:tc>
      </w:tr>
      <w:tr>
        <w:trPr/>
        <w:tc>
          <w:tcPr>
            <w:tcW w:w="4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gridSpan w:val="2"/>
            <w:tcBorders/>
            <w:shd w:fill="auto" w:val="clear"/>
          </w:tcPr>
          <w:p>
            <w:pPr>
              <w:pStyle w:val="TableContents"/>
              <w:spacing w:before="0" w:after="283"/>
              <w:rPr>
                <w:sz w:val="4"/>
                <w:szCs w:val="4"/>
              </w:rPr>
            </w:pPr>
            <w:r>
              <w:rPr>
                <w:sz w:val="4"/>
                <w:szCs w:val="4"/>
              </w:rPr>
            </w:r>
          </w:p>
        </w:tc>
      </w:tr>
      <w:tr>
        <w:trPr/>
        <w:tc>
          <w:tcPr>
            <w:tcW w:w="4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 attributable to stockholders of Overstock.com, Inc.</w:t>
            </w:r>
          </w:p>
        </w:tc>
        <w:tc>
          <w:tcPr>
            <w:tcW w:w="22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issued</w:t>
            </w:r>
          </w:p>
        </w:tc>
        <w:tc>
          <w:tcPr>
            <w:tcW w:w="2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51,102 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46,625 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issued upon vesting of restricted stock </w:t>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ESPP purchases</w:t>
            </w:r>
          </w:p>
        </w:tc>
        <w:tc>
          <w:tcPr>
            <w:tcW w:w="2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0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51,438 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46,910 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treasury stock</w:t>
            </w:r>
          </w:p>
        </w:tc>
        <w:tc>
          <w:tcPr>
            <w:tcW w:w="22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2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upon vesting of employee stock awards</w:t>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0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outstanding</w:t>
            </w:r>
          </w:p>
        </w:tc>
        <w:tc>
          <w:tcPr>
            <w:tcW w:w="20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42,720 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preferred stock issued</w:t>
            </w:r>
          </w:p>
        </w:tc>
        <w:tc>
          <w:tcPr>
            <w:tcW w:w="22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Series A-1 preferred stock issued</w:t>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treasury stock</w:t>
            </w:r>
          </w:p>
        </w:tc>
        <w:tc>
          <w:tcPr>
            <w:tcW w:w="22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shares</w:t>
            </w:r>
          </w:p>
        </w:tc>
        <w:tc>
          <w:tcPr>
            <w:tcW w:w="2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0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Series A-1 preferred stock outstanding</w:t>
            </w:r>
          </w:p>
        </w:tc>
        <w:tc>
          <w:tcPr>
            <w:tcW w:w="20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Series B preferred stock issued and outstanding</w:t>
            </w:r>
          </w:p>
        </w:tc>
        <w:tc>
          <w:tcPr>
            <w:tcW w:w="20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5619" w:type="dxa"/>
            <w:gridSpan w:val="13"/>
            <w:tcBorders/>
            <w:shd w:fill="auto" w:val="clea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489" w:type="dxa"/>
            <w:gridSpan w:val="4"/>
            <w:tcBorders/>
            <w:shd w:fill="auto" w:val="clea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22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982,718 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960,544 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to employees and directors</w:t>
            </w:r>
          </w:p>
        </w:tc>
        <w:tc>
          <w:tcPr>
            <w:tcW w:w="2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ESPP purchases</w:t>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989,634 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967,073 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22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(173,829)</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(136,590)</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10,123 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(184,136)</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(126,467)</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5619" w:type="dxa"/>
            <w:gridSpan w:val="13"/>
            <w:tcBorders/>
            <w:shd w:fill="auto" w:val="clea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489" w:type="dxa"/>
            <w:gridSpan w:val="4"/>
            <w:tcBorders/>
            <w:shd w:fill="auto" w:val="clea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22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income</w:t>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w:t>
            </w:r>
          </w:p>
        </w:tc>
        <w:tc>
          <w:tcPr>
            <w:tcW w:w="22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(162,546)</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(79,035)</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 and Series A-1 preferred shares</w:t>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(25,165)</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withholding upon vesting of employee stock awards </w:t>
            </w:r>
          </w:p>
        </w:tc>
        <w:tc>
          <w:tcPr>
            <w:tcW w:w="2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0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(164,480)</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(107,467)</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640,505 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732,610 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2168"/>
        <w:gridCol w:w="1908"/>
        <w:gridCol w:w="1910"/>
        <w:gridCol w:w="208"/>
        <w:gridCol w:w="404"/>
        <w:gridCol w:w="1581"/>
        <w:gridCol w:w="208"/>
        <w:gridCol w:w="208"/>
        <w:gridCol w:w="208"/>
        <w:gridCol w:w="208"/>
        <w:gridCol w:w="211"/>
        <w:gridCol w:w="826"/>
        <w:gridCol w:w="157"/>
      </w:tblGrid>
      <w:tr>
        <w:trPr/>
        <w:tc>
          <w:tcPr>
            <w:tcW w:w="2168"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c>
          <w:tcPr>
            <w:tcW w:w="191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9011" w:type="dxa"/>
            <w:gridSpan w:val="10"/>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1194" w:type="dxa"/>
            <w:gridSpan w:val="3"/>
            <w:tcBorders/>
            <w:shd w:fill="auto" w:val="clear"/>
          </w:tcPr>
          <w:p>
            <w:pPr>
              <w:pStyle w:val="TableContents"/>
              <w:spacing w:before="0" w:after="283"/>
              <w:rPr>
                <w:sz w:val="4"/>
                <w:szCs w:val="4"/>
              </w:rPr>
            </w:pPr>
            <w:r>
              <w:rPr>
                <w:sz w:val="4"/>
                <w:szCs w:val="4"/>
              </w:rPr>
            </w:r>
          </w:p>
        </w:tc>
      </w:tr>
      <w:tr>
        <w:trPr/>
        <w:tc>
          <w:tcPr>
            <w:tcW w:w="59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0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59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08" w:type="dxa"/>
            <w:tcBorders/>
            <w:shd w:fill="auto" w:val="clear"/>
            <w:vAlign w:val="center"/>
          </w:tcPr>
          <w:p>
            <w:pPr>
              <w:pStyle w:val="TableContents"/>
              <w:spacing w:before="0" w:after="283"/>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operating activities:</w:t>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to employees and directors</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deferred tax assets, net</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equity method securities</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adjustments</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10,220 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20,007 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Disbursement for notes receivable</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equity securities</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distribution from investment</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Expenditures for property and equipment</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 net</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(14,831)</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4219" w:type="dxa"/>
            <w:gridSpan w:val="10"/>
            <w:tcBorders/>
            <w:shd w:fill="auto" w:val="clea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1818" w:type="dxa"/>
            <w:gridSpan w:val="6"/>
            <w:tcBorders/>
            <w:shd w:fill="auto" w:val="clea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taxes withheld upon vesting of employee stock awards</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 net</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208" w:type="dxa"/>
            <w:tcBorders/>
            <w:shd w:fill="auto" w:val="cle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371,457 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503,366 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08" w:type="dxa"/>
            <w:tcBorders/>
            <w:shd w:fill="auto" w:val="clear"/>
            <w:vAlign w:val="center"/>
          </w:tcPr>
          <w:p>
            <w:pPr>
              <w:pStyle w:val="TableContents"/>
              <w:spacing w:before="0" w:after="283"/>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374,928 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493,478 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93"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spacing w:lineRule="auto" w:line="288" w:before="0" w:after="0"/>
        <w:jc w:val="center"/>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1. DESCRIPTION OF BUSINESS </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Overstock.com, Inc. is a leading online furniture and home furnishings retailer and technology-focused innovator that sells products at a smart value. Our online shopping site offers a wide selection of quality furniture, décor, area rugs, bedding and bath, home improvement, outdoor, and kitchen and dining items, among others. Overstock.com, which receives tens of millions of visits per month, provides customers access to millions of products from third-party partners. As used herein, "Overstock," "the Company," "we," "our" and similar terms include Overstock.com, Inc. and its wholly-owned subsidiaries, unless the context indicates otherwise. As used herein, the term "Website" refers to the Company's internet websites located at www.overstock.com, www.o.co, www.overstock.ca, and www.overstockgovernment.com and the Company's mobile app.</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prepared the accompanying unaudited consolidated financial statements pursuant to the rules and regulations of the Securities and Exchange Commission ("SEC") regarding interim financial reporting. Accordingly, certain information and footnote disclosures normally included in financial statements prepared in accordance with accounting principles generally accepted in the United States ("GAAP") have been omitted in accordance with the rules and regulations of the SEC. These financial statements should be read in conjunction with our audited annual consolidated financial statements and related notes included in our Annual Report on Form 10-K for the year ended December 31, 2022. There have been no significant changes to our significant accounting policies disclosed in Note 2—Accounting Policies, included in Part II, Item 8, Financial Statements and Supplementary Data, of our Annual Report on Form 10-K for the year ended December 31, 2022.</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include our accounts and the accounts of our wholly-owned subsidiaries and reflect all adjustments, consisting only of normal recurring adjustments, which are, in our opinion, necessary for a fair presentation of results for the interim periods presented. All intercompany account balances and transactions have been eliminated in consolidation. The results of operations for the three months ended March 31, 2023 are not necessarily indicative of the results to be expected for any future period or the full fiscal year, due to seasonality and other factors.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estimates and assumptions that affect the reported amounts of assets and liabilities, revenues and expenses, and related disclosures of contingent liabilities in our consolidated financial statements and accompanying notes. Estimates are used for, but not limited to, receivables valuation, revenue recognition, Club O and gift card breakage, sales returns, inventory valuation, depreciable lives, equity and debt securities valuation, income taxes, stock-based compensation, performance-based compensation, self-funded health insurance liabilities, and contingencies. Although these estimates are based on our best knowledge of current events and actions that we may undertake in the future, our accounting of these estimates may change from period to period. To the extent there are differences between these estimates and actual results, our consolidated financial statements may be materially affected.</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Available-for-sale debt securities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we invested $10 million in GrainChain, Inc. in the form of a convertible promissory note (the "Note"). The Note bears interest at an annual interest rate of 5% and accrued interest is recorded in Interest income (expense), net in our consolidated statements of operations. The Note has a maturity date of January 3, 2025 at which time the outstanding principal and any unpaid accrued interest will automatically convert into shares of a newly created series of preferred stock issued by GrainChain, Inc. unless converted earlier under limited circumstances. The carrying amount of the Note, including accrued interest, was $10.1 million at March 31, 2023, which is included in Other long-term assets, net on our consolidated balance sheets.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nature of our indirect ownership interests in GrainChain, Inc. through Medici Ventures, L.P. and the extent of our contributed capital, we held a variable interest in GrainChain, Inc., which meets the definition of a variable interest entity; however, we are not the primary beneficiary of this entity for purposes of consolidation as we do not have the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power (either explicit or implicit), through voting rights or otherwise, to direct the activities of GrainChain, Inc. that most significantly impact its economic performance. Our maximum exposure to loss in this variable interest entity totaled $30.3 million as of March 31, 2023, representing our direct and indirect interest in GrainChain, Inc.</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3. FAIR VALUE MEASUREMENT</w:t>
      </w:r>
      <w:r>
        <w:rPr>
          <w:color w:val="000000"/>
        </w:rPr>
        <w:t xml:space="preserve">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assets and liabilities measured at fair value on a recurring basis using the following levels of inputs (in thousands): </w:t>
      </w:r>
    </w:p>
    <w:tbl>
      <w:tblPr>
        <w:tblW w:w="9010" w:type="dxa"/>
        <w:jc w:val="left"/>
        <w:tblInd w:w="0" w:type="dxa"/>
        <w:tblCellMar>
          <w:top w:w="28" w:type="dxa"/>
          <w:left w:w="28" w:type="dxa"/>
          <w:bottom w:w="28" w:type="dxa"/>
          <w:right w:w="28" w:type="dxa"/>
        </w:tblCellMar>
      </w:tblPr>
      <w:tblGrid>
        <w:gridCol w:w="1412"/>
        <w:gridCol w:w="1245"/>
        <w:gridCol w:w="1258"/>
        <w:gridCol w:w="211"/>
        <w:gridCol w:w="826"/>
        <w:gridCol w:w="109"/>
        <w:gridCol w:w="109"/>
        <w:gridCol w:w="109"/>
        <w:gridCol w:w="109"/>
        <w:gridCol w:w="211"/>
        <w:gridCol w:w="826"/>
        <w:gridCol w:w="109"/>
        <w:gridCol w:w="109"/>
        <w:gridCol w:w="109"/>
        <w:gridCol w:w="109"/>
        <w:gridCol w:w="213"/>
        <w:gridCol w:w="411"/>
        <w:gridCol w:w="112"/>
        <w:gridCol w:w="109"/>
        <w:gridCol w:w="109"/>
        <w:gridCol w:w="109"/>
        <w:gridCol w:w="211"/>
        <w:gridCol w:w="721"/>
        <w:gridCol w:w="154"/>
      </w:tblGrid>
      <w:tr>
        <w:trPr/>
        <w:tc>
          <w:tcPr>
            <w:tcW w:w="1412"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95"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 March 31, 2023</w:t>
            </w:r>
          </w:p>
        </w:tc>
      </w:tr>
      <w:tr>
        <w:trPr/>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 (1)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Trading securities held in a "rabbi trust" (1)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accrual "rabbi trust" (2)</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color w:val="000000"/>
        </w:rPr>
      </w:pPr>
      <w:r>
        <w:rPr>
          <w:color w:val="000000"/>
        </w:rPr>
        <w:t> </w:t>
      </w:r>
    </w:p>
    <w:tbl>
      <w:tblPr>
        <w:tblW w:w="9010" w:type="dxa"/>
        <w:jc w:val="left"/>
        <w:tblInd w:w="0" w:type="dxa"/>
        <w:tblCellMar>
          <w:top w:w="28" w:type="dxa"/>
          <w:left w:w="28" w:type="dxa"/>
          <w:bottom w:w="28" w:type="dxa"/>
          <w:right w:w="28" w:type="dxa"/>
        </w:tblCellMar>
      </w:tblPr>
      <w:tblGrid>
        <w:gridCol w:w="1412"/>
        <w:gridCol w:w="1245"/>
        <w:gridCol w:w="1258"/>
        <w:gridCol w:w="211"/>
        <w:gridCol w:w="826"/>
        <w:gridCol w:w="109"/>
        <w:gridCol w:w="109"/>
        <w:gridCol w:w="109"/>
        <w:gridCol w:w="109"/>
        <w:gridCol w:w="211"/>
        <w:gridCol w:w="826"/>
        <w:gridCol w:w="109"/>
        <w:gridCol w:w="109"/>
        <w:gridCol w:w="109"/>
        <w:gridCol w:w="109"/>
        <w:gridCol w:w="213"/>
        <w:gridCol w:w="411"/>
        <w:gridCol w:w="112"/>
        <w:gridCol w:w="109"/>
        <w:gridCol w:w="109"/>
        <w:gridCol w:w="109"/>
        <w:gridCol w:w="211"/>
        <w:gridCol w:w="721"/>
        <w:gridCol w:w="154"/>
      </w:tblGrid>
      <w:tr>
        <w:trPr/>
        <w:tc>
          <w:tcPr>
            <w:tcW w:w="1412"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95"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 December 31, 2022</w:t>
            </w:r>
          </w:p>
        </w:tc>
      </w:tr>
      <w:tr>
        <w:trPr/>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Trading securities held in a "rabbi trust" (1)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accrual "rabbi trust" (2)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    Included in Other long-term assets, net in the consolidated balance sheets.</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     Included in Accrued liabilities and Other long-term liabilities in the consolidated balance sheets.</w:t>
      </w:r>
    </w:p>
    <w:p>
      <w:pPr>
        <w:pStyle w:val="TextBody"/>
        <w:spacing w:before="0" w:after="0"/>
        <w:ind w:left="0" w:right="0" w:hanging="36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activity for our Level 3 investments (in thousands):</w:t>
      </w:r>
    </w:p>
    <w:tbl>
      <w:tblPr>
        <w:tblW w:w="5255" w:type="dxa"/>
        <w:jc w:val="center"/>
        <w:tblInd w:w="0" w:type="dxa"/>
        <w:tblCellMar>
          <w:top w:w="28" w:type="dxa"/>
          <w:left w:w="28" w:type="dxa"/>
          <w:bottom w:w="28" w:type="dxa"/>
          <w:right w:w="28" w:type="dxa"/>
        </w:tblCellMar>
      </w:tblPr>
      <w:tblGrid>
        <w:gridCol w:w="1472"/>
        <w:gridCol w:w="1294"/>
        <w:gridCol w:w="1298"/>
        <w:gridCol w:w="211"/>
        <w:gridCol w:w="826"/>
        <w:gridCol w:w="154"/>
      </w:tblGrid>
      <w:tr>
        <w:trPr/>
        <w:tc>
          <w:tcPr>
            <w:tcW w:w="1472"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investments at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purchases of Level 3 investments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fair value of Level 3 investments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investments at December 31, 2022</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purchases of Level 3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on Level 3 investments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investments at 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4. PROPERTY AND EQUIPMENT, NET</w:t>
      </w:r>
      <w:r>
        <w:rPr>
          <w:color w:val="000000"/>
        </w:rPr>
        <w:t xml:space="preserve">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 (in thousands):</w:t>
      </w:r>
    </w:p>
    <w:tbl>
      <w:tblPr>
        <w:tblW w:w="10205" w:type="dxa"/>
        <w:jc w:val="center"/>
        <w:tblInd w:w="0" w:type="dxa"/>
        <w:tblCellMar>
          <w:top w:w="28" w:type="dxa"/>
          <w:left w:w="28" w:type="dxa"/>
          <w:bottom w:w="28" w:type="dxa"/>
          <w:right w:w="28" w:type="dxa"/>
        </w:tblCellMar>
      </w:tblPr>
      <w:tblGrid>
        <w:gridCol w:w="2545"/>
        <w:gridCol w:w="2225"/>
        <w:gridCol w:w="2237"/>
        <w:gridCol w:w="211"/>
        <w:gridCol w:w="826"/>
        <w:gridCol w:w="109"/>
        <w:gridCol w:w="109"/>
        <w:gridCol w:w="109"/>
        <w:gridCol w:w="109"/>
        <w:gridCol w:w="304"/>
        <w:gridCol w:w="1196"/>
        <w:gridCol w:w="225"/>
      </w:tblGrid>
      <w:tr>
        <w:trPr/>
        <w:tc>
          <w:tcPr>
            <w:tcW w:w="2545" w:type="dxa"/>
            <w:tcBorders/>
            <w:shd w:fill="auto" w:val="clear"/>
            <w:vAlign w:val="center"/>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c>
          <w:tcPr>
            <w:tcW w:w="22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70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 and software, including internal-use software and website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240,148 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69,350 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equipment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12,642 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machinery and equipment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improvements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354,676 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(244,770)</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109,906 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Capitalized costs associated with internal-use software and website development, both developed internally and acquired externally, and depreciation of costs for the same periods associated with internal-use software and website development consist of the following (in thousands):</w:t>
      </w:r>
    </w:p>
    <w:tbl>
      <w:tblPr>
        <w:tblW w:w="7899" w:type="dxa"/>
        <w:jc w:val="center"/>
        <w:tblInd w:w="0" w:type="dxa"/>
        <w:tblCellMar>
          <w:top w:w="28" w:type="dxa"/>
          <w:left w:w="28" w:type="dxa"/>
          <w:bottom w:w="28" w:type="dxa"/>
          <w:right w:w="28" w:type="dxa"/>
        </w:tblCellMar>
      </w:tblPr>
      <w:tblGrid>
        <w:gridCol w:w="1892"/>
        <w:gridCol w:w="1659"/>
        <w:gridCol w:w="1668"/>
        <w:gridCol w:w="211"/>
        <w:gridCol w:w="616"/>
        <w:gridCol w:w="109"/>
        <w:gridCol w:w="109"/>
        <w:gridCol w:w="109"/>
        <w:gridCol w:w="109"/>
        <w:gridCol w:w="211"/>
        <w:gridCol w:w="616"/>
        <w:gridCol w:w="109"/>
        <w:gridCol w:w="109"/>
        <w:gridCol w:w="109"/>
        <w:gridCol w:w="109"/>
        <w:gridCol w:w="154"/>
      </w:tblGrid>
      <w:tr>
        <w:trPr/>
        <w:tc>
          <w:tcPr>
            <w:tcW w:w="1892"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 and website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internal-use software and website development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Depreciation expense is classified within the corresponding operating expense categories on our consolidated statements of operations as follows (in thousands): </w:t>
      </w:r>
    </w:p>
    <w:tbl>
      <w:tblPr>
        <w:tblW w:w="4989" w:type="dxa"/>
        <w:jc w:val="center"/>
        <w:tblInd w:w="0" w:type="dxa"/>
        <w:tblCellMar>
          <w:top w:w="28" w:type="dxa"/>
          <w:left w:w="28" w:type="dxa"/>
          <w:bottom w:w="28" w:type="dxa"/>
          <w:right w:w="28" w:type="dxa"/>
        </w:tblCellMar>
      </w:tblPr>
      <w:tblGrid>
        <w:gridCol w:w="836"/>
        <w:gridCol w:w="734"/>
        <w:gridCol w:w="739"/>
        <w:gridCol w:w="211"/>
        <w:gridCol w:w="616"/>
        <w:gridCol w:w="109"/>
        <w:gridCol w:w="109"/>
        <w:gridCol w:w="109"/>
        <w:gridCol w:w="109"/>
        <w:gridCol w:w="211"/>
        <w:gridCol w:w="616"/>
        <w:gridCol w:w="109"/>
        <w:gridCol w:w="109"/>
        <w:gridCol w:w="109"/>
        <w:gridCol w:w="109"/>
        <w:gridCol w:w="154"/>
      </w:tblGrid>
      <w:tr>
        <w:trPr/>
        <w:tc>
          <w:tcPr>
            <w:tcW w:w="836"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5. EQUITY SECURITIES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Equity securities consist of the following (in thousands):</w:t>
      </w:r>
    </w:p>
    <w:tbl>
      <w:tblPr>
        <w:tblW w:w="10126" w:type="dxa"/>
        <w:jc w:val="left"/>
        <w:tblInd w:w="0" w:type="dxa"/>
        <w:tblCellMar>
          <w:top w:w="28" w:type="dxa"/>
          <w:left w:w="28" w:type="dxa"/>
          <w:bottom w:w="28" w:type="dxa"/>
          <w:right w:w="28" w:type="dxa"/>
        </w:tblCellMar>
      </w:tblPr>
      <w:tblGrid>
        <w:gridCol w:w="2493"/>
        <w:gridCol w:w="2192"/>
        <w:gridCol w:w="2199"/>
        <w:gridCol w:w="211"/>
        <w:gridCol w:w="826"/>
        <w:gridCol w:w="109"/>
        <w:gridCol w:w="109"/>
        <w:gridCol w:w="109"/>
        <w:gridCol w:w="109"/>
        <w:gridCol w:w="313"/>
        <w:gridCol w:w="1228"/>
        <w:gridCol w:w="228"/>
      </w:tblGrid>
      <w:tr>
        <w:trPr/>
        <w:tc>
          <w:tcPr>
            <w:tcW w:w="2493" w:type="dxa"/>
            <w:tcBorders/>
            <w:shd w:fill="auto" w:val="clear"/>
            <w:vAlign w:val="center"/>
          </w:tcPr>
          <w:p>
            <w:pPr>
              <w:pStyle w:val="TableContents"/>
              <w:spacing w:before="0" w:after="283"/>
              <w:rPr>
                <w:sz w:val="4"/>
                <w:szCs w:val="4"/>
              </w:rPr>
            </w:pPr>
            <w:r>
              <w:rPr>
                <w:sz w:val="4"/>
                <w:szCs w:val="4"/>
              </w:rPr>
            </w:r>
          </w:p>
        </w:tc>
        <w:tc>
          <w:tcPr>
            <w:tcW w:w="2192" w:type="dxa"/>
            <w:tcBorders/>
            <w:shd w:fill="auto" w:val="clear"/>
            <w:vAlign w:val="center"/>
          </w:tcPr>
          <w:p>
            <w:pPr>
              <w:pStyle w:val="TableContents"/>
              <w:spacing w:before="0" w:after="283"/>
              <w:rPr>
                <w:sz w:val="4"/>
                <w:szCs w:val="4"/>
              </w:rPr>
            </w:pPr>
            <w:r>
              <w:rPr>
                <w:sz w:val="4"/>
                <w:szCs w:val="4"/>
              </w:rPr>
            </w:r>
          </w:p>
        </w:tc>
        <w:tc>
          <w:tcPr>
            <w:tcW w:w="21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accounted for under the equity method under ASC 323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213,494 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accounted for under the equity method under the fair value option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82,787 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under ASC 321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296,317 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equity securities accounted for under the equity method under ASC 323 include equity securities in which we can exercise significant influence, but not control, over these entities through holding more than a 20% voting interest in the entity. The following table includes our equity securities accounted for under the equity method and related ownership interest as of March 31, 2023:</w:t>
      </w:r>
    </w:p>
    <w:tbl>
      <w:tblPr>
        <w:tblW w:w="2941" w:type="dxa"/>
        <w:jc w:val="center"/>
        <w:tblInd w:w="0" w:type="dxa"/>
        <w:tblCellMar>
          <w:top w:w="28" w:type="dxa"/>
          <w:left w:w="28" w:type="dxa"/>
          <w:bottom w:w="28" w:type="dxa"/>
          <w:right w:w="28" w:type="dxa"/>
        </w:tblCellMar>
      </w:tblPr>
      <w:tblGrid>
        <w:gridCol w:w="679"/>
        <w:gridCol w:w="597"/>
        <w:gridCol w:w="599"/>
        <w:gridCol w:w="312"/>
        <w:gridCol w:w="312"/>
        <w:gridCol w:w="442"/>
      </w:tblGrid>
      <w:tr>
        <w:trPr/>
        <w:tc>
          <w:tcPr>
            <w:tcW w:w="67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w:t>
              <w:br/>
              <w:t>interest</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Medici Ventures, L.P.</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tZERO Group, Inc.</w:t>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SpeedRoute, LLC</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 of our equity method securities was $289.1 million at March 31, 2023, which is included in Equity securities on our consolidated balance sheets, of which $82.8 million is valued under the fair value option (tZERO and SpeedRoute). For our investments in Medici Ventures, tZERO, and SpeedRoute there is no difference in the carrying amount of the assets and liabilities and our maximum exposure to loss, and there is no difference between the carrying amount of our investment in Medici Ventures and the amount of underlying equity we have in the entity's net assets.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loss recognized on equity method securities recorded in Other expense, net in our consolidated statements of operations (in thousands):</w:t>
      </w:r>
    </w:p>
    <w:p>
      <w:pPr>
        <w:pStyle w:val="TextBody"/>
        <w:spacing w:before="0" w:after="0"/>
        <w:ind w:left="0" w:right="0" w:firstLine="720"/>
        <w:rPr/>
      </w:pPr>
      <w:r>
        <w:rPr/>
      </w:r>
    </w:p>
    <w:tbl>
      <w:tblPr>
        <w:tblW w:w="10178" w:type="dxa"/>
        <w:jc w:val="center"/>
        <w:tblInd w:w="0" w:type="dxa"/>
        <w:tblCellMar>
          <w:top w:w="28" w:type="dxa"/>
          <w:left w:w="28" w:type="dxa"/>
          <w:bottom w:w="28" w:type="dxa"/>
          <w:right w:w="28" w:type="dxa"/>
        </w:tblCellMar>
      </w:tblPr>
      <w:tblGrid>
        <w:gridCol w:w="2820"/>
        <w:gridCol w:w="2479"/>
        <w:gridCol w:w="2485"/>
        <w:gridCol w:w="211"/>
        <w:gridCol w:w="691"/>
        <w:gridCol w:w="109"/>
        <w:gridCol w:w="109"/>
        <w:gridCol w:w="109"/>
        <w:gridCol w:w="109"/>
        <w:gridCol w:w="211"/>
        <w:gridCol w:w="691"/>
        <w:gridCol w:w="154"/>
      </w:tblGrid>
      <w:tr>
        <w:trPr/>
        <w:tc>
          <w:tcPr>
            <w:tcW w:w="2820" w:type="dxa"/>
            <w:tcBorders/>
            <w:shd w:fill="auto" w:val="clear"/>
            <w:vAlign w:val="center"/>
          </w:tcPr>
          <w:p>
            <w:pPr>
              <w:pStyle w:val="TableContents"/>
              <w:spacing w:before="0" w:after="283"/>
              <w:rPr>
                <w:sz w:val="4"/>
                <w:szCs w:val="4"/>
              </w:rPr>
            </w:pPr>
            <w:r>
              <w:rPr>
                <w:sz w:val="4"/>
                <w:szCs w:val="4"/>
              </w:rPr>
            </w:r>
          </w:p>
        </w:tc>
        <w:tc>
          <w:tcPr>
            <w:tcW w:w="2479" w:type="dxa"/>
            <w:tcBorders/>
            <w:shd w:fill="auto" w:val="clear"/>
            <w:vAlign w:val="center"/>
          </w:tcPr>
          <w:p>
            <w:pPr>
              <w:pStyle w:val="TableContents"/>
              <w:spacing w:before="0" w:after="283"/>
              <w:rPr>
                <w:sz w:val="4"/>
                <w:szCs w:val="4"/>
              </w:rPr>
            </w:pPr>
            <w:r>
              <w:rPr>
                <w:sz w:val="4"/>
                <w:szCs w:val="4"/>
              </w:rPr>
            </w:r>
          </w:p>
        </w:tc>
        <w:tc>
          <w:tcPr>
            <w:tcW w:w="24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7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recognized on our proportionate share of the net assets of our equity method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fair value of equity method securities held under fair value option</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Regulation S-X Rule 10-01(b)(1)</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accordance with Rule 10-01(b)(1) of Regulation S-X, which applies to interim reports on Form 10-Q, the Company must determine if its equity method investees are considered "significant subsidiaries". Summarized income statement information of an equity method investee is required in an interim report if the significance criteria are met as defined under SEC guidance. For the period ended March 31, 2023, none of our equity method investees met the significance criteria. The following is the unaudited summarized financial information for those equity method securities that met the significance criteria for the period ended March 31, 2022 (in thousands):</w:t>
      </w:r>
    </w:p>
    <w:p>
      <w:pPr>
        <w:pStyle w:val="TextBody"/>
        <w:spacing w:before="0" w:after="0"/>
        <w:ind w:left="0" w:right="0" w:firstLine="720"/>
        <w:rPr/>
      </w:pPr>
      <w:r>
        <w:rPr/>
      </w:r>
    </w:p>
    <w:tbl>
      <w:tblPr>
        <w:tblW w:w="3996" w:type="dxa"/>
        <w:jc w:val="left"/>
        <w:tblInd w:w="0" w:type="dxa"/>
        <w:tblCellMar>
          <w:top w:w="28" w:type="dxa"/>
          <w:left w:w="28" w:type="dxa"/>
          <w:bottom w:w="28" w:type="dxa"/>
          <w:right w:w="28" w:type="dxa"/>
        </w:tblCellMar>
      </w:tblPr>
      <w:tblGrid>
        <w:gridCol w:w="695"/>
        <w:gridCol w:w="610"/>
        <w:gridCol w:w="614"/>
        <w:gridCol w:w="109"/>
        <w:gridCol w:w="109"/>
        <w:gridCol w:w="472"/>
        <w:gridCol w:w="1043"/>
        <w:gridCol w:w="344"/>
      </w:tblGrid>
      <w:tr>
        <w:trPr/>
        <w:tc>
          <w:tcPr>
            <w:tcW w:w="695"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2022</w:t>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6. BORROWINGS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we entered into two loan agreements. The loan agreements provide a $34.5 million Senior Note, carrying interest at an annual rate of 4.242%, and a $13.0 million Mezzanine Note, carrying interest at an annual rate of 5.002%. The loans carry a blended annual interest rate of 4.45%. The Senior Note is for a 10-year term (stated maturity date is March 6, 2030) and requires interest only payments, with the principal amount and any then unpaid interest due and payable at the end of the 10-year term. The Mezzanine Note has a stated 10-year term, though the agreement requires principal and interest payments monthly over approximately a 46-month payment period. Our debt issuance costs and debt discount are amortized using the straight-line basis which approximates the effective interest method.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total outstanding debt on these loans was $37.1 million, net of $380,000 in capitalized debt issuance costs, and the total amount of the current portion of these loans included in Other current liabilities on our consolidated balance sheets was $2.9 million.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Both loans include certain financial and non-financial covenants and are secured by our corporate headquarters and the related land and rank senior to stockholders. The financial covenants require that Overstock maintain a net worth in excess of $30 million and minimum liquid assets of $3 million for so long as the Mezzanine Note is outstanding and is reduced to maintaining a net worth in excess of $15 million and minimum liquid assets of $1 million for the remainder of the term that the Senior Note is outstanding. We are in compliance with our debt covenants and continue to monitor our ongoing compliance with our debt covenants.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7. LEASES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operating leases for warehouses, office space, and data centers. Our leases have remaining lease terms of one year to four years, some of which may include options to extend the leases perpetually, and some of which may include options to terminate the leases within one year.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expenses were as follows (in thousands):</w:t>
      </w:r>
    </w:p>
    <w:tbl>
      <w:tblPr>
        <w:tblW w:w="4435" w:type="dxa"/>
        <w:jc w:val="center"/>
        <w:tblInd w:w="0" w:type="dxa"/>
        <w:tblCellMar>
          <w:top w:w="28" w:type="dxa"/>
          <w:left w:w="28" w:type="dxa"/>
          <w:bottom w:w="28" w:type="dxa"/>
          <w:right w:w="28" w:type="dxa"/>
        </w:tblCellMar>
      </w:tblPr>
      <w:tblGrid>
        <w:gridCol w:w="635"/>
        <w:gridCol w:w="558"/>
        <w:gridCol w:w="562"/>
        <w:gridCol w:w="211"/>
        <w:gridCol w:w="616"/>
        <w:gridCol w:w="109"/>
        <w:gridCol w:w="109"/>
        <w:gridCol w:w="109"/>
        <w:gridCol w:w="109"/>
        <w:gridCol w:w="211"/>
        <w:gridCol w:w="616"/>
        <w:gridCol w:w="109"/>
        <w:gridCol w:w="109"/>
        <w:gridCol w:w="109"/>
        <w:gridCol w:w="109"/>
        <w:gridCol w:w="154"/>
      </w:tblGrid>
      <w:tr>
        <w:trPr/>
        <w:tc>
          <w:tcPr>
            <w:tcW w:w="635"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other information related to leases (in thousands):</w:t>
      </w:r>
    </w:p>
    <w:tbl>
      <w:tblPr>
        <w:tblW w:w="8347" w:type="dxa"/>
        <w:jc w:val="center"/>
        <w:tblInd w:w="0" w:type="dxa"/>
        <w:tblCellMar>
          <w:top w:w="28" w:type="dxa"/>
          <w:left w:w="28" w:type="dxa"/>
          <w:bottom w:w="28" w:type="dxa"/>
          <w:right w:w="28" w:type="dxa"/>
        </w:tblCellMar>
      </w:tblPr>
      <w:tblGrid>
        <w:gridCol w:w="2184"/>
        <w:gridCol w:w="1918"/>
        <w:gridCol w:w="1928"/>
        <w:gridCol w:w="319"/>
        <w:gridCol w:w="285"/>
        <w:gridCol w:w="286"/>
        <w:gridCol w:w="164"/>
        <w:gridCol w:w="164"/>
        <w:gridCol w:w="164"/>
        <w:gridCol w:w="319"/>
        <w:gridCol w:w="255"/>
        <w:gridCol w:w="361"/>
      </w:tblGrid>
      <w:tr>
        <w:trPr/>
        <w:tc>
          <w:tcPr>
            <w:tcW w:w="2184" w:type="dxa"/>
            <w:tcBorders/>
            <w:shd w:fill="auto" w:val="clear"/>
            <w:vAlign w:val="center"/>
          </w:tcPr>
          <w:p>
            <w:pPr>
              <w:pStyle w:val="TableContents"/>
              <w:spacing w:before="0" w:after="283"/>
              <w:rPr>
                <w:sz w:val="4"/>
                <w:szCs w:val="4"/>
              </w:rPr>
            </w:pPr>
            <w:r>
              <w:rPr>
                <w:sz w:val="4"/>
                <w:szCs w:val="4"/>
              </w:rPr>
            </w:r>
          </w:p>
        </w:tc>
        <w:tc>
          <w:tcPr>
            <w:tcW w:w="1918"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6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6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30" w:type="dxa"/>
            <w:gridSpan w:val="3"/>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included in operating cash flows from lease arrangements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r>
      <w:tr>
        <w:trPr/>
        <w:tc>
          <w:tcPr>
            <w:tcW w:w="6030" w:type="dxa"/>
            <w:gridSpan w:val="3"/>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r>
      <w:tr>
        <w:trPr/>
        <w:tc>
          <w:tcPr>
            <w:tcW w:w="6030" w:type="dxa"/>
            <w:gridSpan w:val="3"/>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balance sheet information related to leases:</w:t>
      </w:r>
    </w:p>
    <w:tbl>
      <w:tblPr>
        <w:tblW w:w="7436" w:type="dxa"/>
        <w:jc w:val="center"/>
        <w:tblInd w:w="0" w:type="dxa"/>
        <w:tblCellMar>
          <w:top w:w="28" w:type="dxa"/>
          <w:left w:w="28" w:type="dxa"/>
          <w:bottom w:w="28" w:type="dxa"/>
          <w:right w:w="28" w:type="dxa"/>
        </w:tblCellMar>
      </w:tblPr>
      <w:tblGrid>
        <w:gridCol w:w="1750"/>
        <w:gridCol w:w="1537"/>
        <w:gridCol w:w="1543"/>
        <w:gridCol w:w="216"/>
        <w:gridCol w:w="216"/>
        <w:gridCol w:w="542"/>
        <w:gridCol w:w="109"/>
        <w:gridCol w:w="109"/>
        <w:gridCol w:w="109"/>
        <w:gridCol w:w="266"/>
        <w:gridCol w:w="266"/>
        <w:gridCol w:w="773"/>
      </w:tblGrid>
      <w:tr>
        <w:trPr/>
        <w:tc>
          <w:tcPr>
            <w:tcW w:w="1750"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r>
      <w:tr>
        <w:trPr/>
        <w:tc>
          <w:tcPr>
            <w:tcW w:w="4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term—operating leases</w:t>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years</w:t>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rate—operating leases</w:t>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Maturity of lease liabilities under our non-cancellable operating leases as of March 31, 2023, are as follows (in thousands):</w:t>
      </w:r>
    </w:p>
    <w:tbl>
      <w:tblPr>
        <w:tblW w:w="3992" w:type="dxa"/>
        <w:jc w:val="center"/>
        <w:tblInd w:w="0" w:type="dxa"/>
        <w:tblCellMar>
          <w:top w:w="28" w:type="dxa"/>
          <w:left w:w="28" w:type="dxa"/>
          <w:bottom w:w="28" w:type="dxa"/>
          <w:right w:w="28" w:type="dxa"/>
        </w:tblCellMar>
      </w:tblPr>
      <w:tblGrid>
        <w:gridCol w:w="973"/>
        <w:gridCol w:w="854"/>
        <w:gridCol w:w="857"/>
        <w:gridCol w:w="109"/>
        <w:gridCol w:w="109"/>
        <w:gridCol w:w="109"/>
        <w:gridCol w:w="211"/>
        <w:gridCol w:w="616"/>
        <w:gridCol w:w="154"/>
      </w:tblGrid>
      <w:tr>
        <w:trPr/>
        <w:tc>
          <w:tcPr>
            <w:tcW w:w="973"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Payments due by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8. COMMITMENTS AND CONTINGENCIES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Legal proceedings and contingencies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litigation concerning consumer protection, employment, intellectual property, claims under the securities laws, and other commercial matters related to the conduct and operation of our business and the sale of products on our Website. In connection with such litigation, we have been in the past and we may be in the future subject to significant damages. In some instances, other parties may have contractual indemnification obligations to us. However, such contractual obligations may prove unenforceable or non-collectible, and if we cannot enforce or collect on indemnification obligations, we may bear the full responsibility for damages, fees, and costs resulting from such litigation. We may also be subject to penalties and equitable remedies that could force us to alter important business practices.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The nature of the loss contingencies relating to claims that have been asserted against us are described below.</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in October 2019, we received a subpoena from the SEC requiring us to produce documents and other information related to the Series A-1 Preferred stock dividend we announced to stockholders in June 2019 and requesting copies of 10b5-1 plans entered into by certain officers and directors. In December 2019, we received a subpoena from the SEC requesting our insider trading policies and certain employment and consulting agreements. We also received requests from the SEC for our communications with our former Chief Executive Officer and Director, Patrick Byrne, and the matters referenced in the December 2019 subpoenas. In January 2021, we received a subpoena from the SEC requesting information regarding our retail guidance in 2019 and certain communications with current and former executives, board members, and investors. We continue to cooperate with the SEC on these matters.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September 27, 2019, a purported securities class action lawsuit was filed against us and our former Chief Executive Officer and former Chief Financial Officer in the United States District Court of Utah, alleging violations under Section 10(b), Rule 10b-5, Section 20(a), and Section 20A of the Securities Exchange Act of 1934, as amended (the "Exchange Act"). On October 8, 2019, October 17, 2019, October 31, 2019, and November 20, 2019, four similar lawsuits were filed in the same court also naming us and the above referenced former executives as defendants, bringing similar claims under the Exchange Act, and seeking similar relief. These cases were consolidated into a single lawsuit in December 2019. The Court appointed The Mangrove Partners Master Fund Ltd. as lead plaintiff in January 2020. In March 2020, an amended consolidated complaint was filed against us, our President, our former Chief Executive Officer, and our former Chief Financial Officer. We filed a motion to dismiss and, on September 28, 2020, the court granted our motion and entered judgment in our favor. The plaintiffs filed a motion to amend their complaint on October 23, 2020. The United States District Court of Utah granted the plaintiffs' motion to amend their complaint on January 6, 2021. The plaintiffs filed their amended complaint on January 11, 2021. We filed a motion to dismiss plaintiffs' amended complaint, and on September 20, 2021, the court granted our motion and entered judgment in our favor. On October 18, 2021, the plaintiffs filed a Notice of Appeal, appealing the ruling of the district court to the United States Court of Appeals for the Tenth Circuit. We are awaiting a ruling from the Tenth Circuit that heard oral argument on the appeal on February 9, 2023. No estimates of the possible losses or range of losses can be made at this time. We intend to continue to vigorously defend this consolidated action.</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22, 2019, a shareholder derivative suit was filed against us and certain past and present directors and officers of ours in the United States District Court for the District of Delaware, with allegations that include: (i) breach of fiduciary duties, (ii) unjust enrichment, (iii) insider selling and misappropriation of the Company's information, and (iv) contribution under Sections 10(b) and 21D of the Exchange Act. On December 17, 2019, a similar lawsuit was filed in the same court, naming the same defendants, bringing similar claims, and seeking similar relief. These cases were consolidated into a single lawsuit in January 2020. In March 2020, the court entered a stay on litigation, pending the outcome of the securities class action motion to dismiss. The case remains stayed pending the outcome of the plaintiffs' appeal to the Tenth Circuit in the securities class action. No estimates of the possible losses or range of losses can be made at this time. We intend to vigorously defend these actions.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April 23, 2020, a putative class action lawsuit was filed against us in the Circuit Court of the County of St. Louis, State of Missouri, alleging that we over-collected taxes on products sold into the state of Missouri. We removed the case to United States District Court, Eastern District of Missouri on May 22, 2020, and on February 9, 2021, the case against us was dismissed. On March 1, 2021, a putative class action lawsuit was filed against us in the Circuit Court of the County of St. Louis, State of Missouri, alleging similar allegations to the April 23, 2020 putative class action lawsuit that was dismissed, that we over-collected taxes on products sold into the state of Missouri. We filed a motion to compel arbitration, which was denied on October 13, 2021. We filed a motion to dismiss, which was denied on March 16, 2022. No estimates of the possible losses or range of losses can be made at this time. We intend to vigorously defend this action.</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establish liabilities when a particular contingency is probable and estimable. At March 31, 2023 and December 31, 2022, our established liabilities were not material.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9. INDEMNIFICATIONS AND GUARANTEES </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our normal course of business, we have made certain indemnities, commitments, and guarantees under which we may be required to make payments in relation to certain transactions. These indemnities include, but are not limited to, indemnities we entered into in favor of Loan Core Capital Funding Corporation LLC under our building loan agreements, various lessors in connection with facility leases for certain claims arising from such facility or lease, the environmental indemnity we entered into in favor of the lenders under our prior loan agreements, customary indemnification arrangements in underwriting agreements and similar agreements, and indemnities to our directors and officers to the maximum extent permitted under the laws of the State of Delaware. The duration of these indemnities, commitments, and guarantees varies, and in certain cases, is indefinite. In addition, the majority of these indemnities, commitments, and guarantees do not provide for any limitation of the maximum potential future payments we could be obligated to make. As such, we are unable to estimate with any reasonableness our potential exposure under these items. We have not recorded any liability for these indemnities, commitments, and guarantees in the accompanying consolidated balance sheets. We do, however, accrue for losses for any known contingent liability, including those that may arise from indemnification provisions, when future payment is both probable and reasonably estimable.</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10. STOCKHOLDERS' EQUITY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Common stock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Each share of common stock has the right to one vote. The holders of common stock are also entitled to receive dividends declared by the Board of Directors out of funds legally available, subject to prior rights of holders of all classes of stock outstanding having priority rights as to dividends.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Preferred stock conversion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Following the June 10, 2022 conversion of all outstanding Series A-1 and Series B preferred stock into shares of our common stock, the Company eliminated the Series A-1 and Series B preferred stock class by filing Certificates of Elimination with the Delaware Secretary of State.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JonesTrading Sales Agreement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we did not sell any shares of our common stock pursuant to the "at the market" sales agreement with JonesTrading Institutional Services LLC and D.A. Davidson &amp; Co. As of March 31, 2023, we had $150.0 million available under our "at the market" sales program.</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we did not repurchase any shares of our common stock under our stock repurchase program. During the three months ended March 31, 2022, we repurchased $24.9 million of our common stock and $256,000 of our Series A-1 preferred stock under the Repurchase Program at average prices of $48.18 and $45.24 per share, respectively. As of March 31, 2023, we had $19.9 million available for future share repurchases under our current repurchase authorization through December 31, 2023. </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11. STOCK-BASED AWARDS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classified within the corresponding operating expense categories on our consolidated statements of operations as follows (in thousands):</w:t>
      </w:r>
    </w:p>
    <w:tbl>
      <w:tblPr>
        <w:tblW w:w="5424" w:type="dxa"/>
        <w:jc w:val="center"/>
        <w:tblInd w:w="0" w:type="dxa"/>
        <w:tblCellMar>
          <w:top w:w="28" w:type="dxa"/>
          <w:left w:w="28" w:type="dxa"/>
          <w:bottom w:w="28" w:type="dxa"/>
          <w:right w:w="28" w:type="dxa"/>
        </w:tblCellMar>
      </w:tblPr>
      <w:tblGrid>
        <w:gridCol w:w="993"/>
        <w:gridCol w:w="873"/>
        <w:gridCol w:w="878"/>
        <w:gridCol w:w="211"/>
        <w:gridCol w:w="616"/>
        <w:gridCol w:w="109"/>
        <w:gridCol w:w="109"/>
        <w:gridCol w:w="109"/>
        <w:gridCol w:w="109"/>
        <w:gridCol w:w="211"/>
        <w:gridCol w:w="616"/>
        <w:gridCol w:w="109"/>
        <w:gridCol w:w="109"/>
        <w:gridCol w:w="109"/>
        <w:gridCol w:w="109"/>
        <w:gridCol w:w="154"/>
      </w:tblGrid>
      <w:tr>
        <w:trPr/>
        <w:tc>
          <w:tcPr>
            <w:tcW w:w="99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Overstock restricted stock awards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Overstock.com, Inc. Amended and Restated 2005 Equity Incentive Plan provides for the grant of restricted stock units to employees and directors of the Company and other types of equity awards of the Company. These restricted stock awards generally vest over three years at 33.3% at the end of the first year, 33.3% at the end of the second year and 33.4% at the end of the third year, subject to the recipient's continuing service to us.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award activity (in thousands, except per share data):</w:t>
      </w:r>
    </w:p>
    <w:tbl>
      <w:tblPr>
        <w:tblW w:w="5045" w:type="dxa"/>
        <w:jc w:val="left"/>
        <w:tblInd w:w="0" w:type="dxa"/>
        <w:tblCellMar>
          <w:top w:w="28" w:type="dxa"/>
          <w:left w:w="28" w:type="dxa"/>
          <w:bottom w:w="28" w:type="dxa"/>
          <w:right w:w="28" w:type="dxa"/>
        </w:tblCellMar>
      </w:tblPr>
      <w:tblGrid>
        <w:gridCol w:w="999"/>
        <w:gridCol w:w="879"/>
        <w:gridCol w:w="882"/>
        <w:gridCol w:w="308"/>
        <w:gridCol w:w="308"/>
        <w:gridCol w:w="181"/>
        <w:gridCol w:w="124"/>
        <w:gridCol w:w="124"/>
        <w:gridCol w:w="124"/>
        <w:gridCol w:w="240"/>
        <w:gridCol w:w="701"/>
        <w:gridCol w:w="175"/>
      </w:tblGrid>
      <w:tr>
        <w:trPr/>
        <w:tc>
          <w:tcPr>
            <w:tcW w:w="99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2023</w:t>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Outstanding—beginning of year</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at fair value</w:t>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Outstanding—end of period</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spacing w:before="0" w:after="0"/>
        <w:rPr/>
      </w:pPr>
      <w:r>
        <w:rPr/>
      </w:r>
    </w:p>
    <w:p>
      <w:pPr>
        <w:pStyle w:val="TextBody"/>
        <w:spacing w:lineRule="auto" w:line="288" w:before="0" w:after="0"/>
        <w:ind w:left="0" w:right="0" w:firstLine="720"/>
        <w:rPr>
          <w:color w:val="000000"/>
        </w:rPr>
      </w:pPr>
      <w:r>
        <w:rPr>
          <w:color w:val="000000"/>
        </w:rPr>
        <w:t> </w:t>
      </w:r>
      <w:r>
        <w:rPr>
          <w:rFonts w:ascii="Times New Roman;sans-serif" w:hAnsi="Times New Roman;sans-serif"/>
          <w:b w:val="false"/>
          <w:color w:val="000000"/>
          <w:sz w:val="20"/>
        </w:rPr>
        <w:t>Purchases under the Overstock.com, Inc. 2021 Employee Stock Purchase Plan (the "ESPP") during the three months ended March 31, 2023 and 2022 were 68,011 shares and 41,918 shares, respectively, at an average purchase price per share of $16.46 and $48.37, respectively. At March 31, 2023, approximately 2.8 million shares of common stock remained available under the ESPP.</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we recognized $548,000 and $627,000, respectively, in stock-based compensation expense related to the ESPP, which is included in the stock-based compensation expense table above combined with the expense associated with our restricted stock units.</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12. REVENUE AND CONTRACT LIABILITY</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Unearned Revenue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unearned revenue from contracts with customers, including significant changes in unearned revenue balances during the periods presented (in thousands):</w:t>
      </w:r>
    </w:p>
    <w:tbl>
      <w:tblPr>
        <w:tblW w:w="6741" w:type="dxa"/>
        <w:jc w:val="center"/>
        <w:tblInd w:w="0" w:type="dxa"/>
        <w:tblCellMar>
          <w:top w:w="28" w:type="dxa"/>
          <w:left w:w="28" w:type="dxa"/>
          <w:bottom w:w="28" w:type="dxa"/>
          <w:right w:w="28" w:type="dxa"/>
        </w:tblCellMar>
      </w:tblPr>
      <w:tblGrid>
        <w:gridCol w:w="2046"/>
        <w:gridCol w:w="1798"/>
        <w:gridCol w:w="1811"/>
        <w:gridCol w:w="211"/>
        <w:gridCol w:w="721"/>
        <w:gridCol w:w="154"/>
      </w:tblGrid>
      <w:tr>
        <w:trPr/>
        <w:tc>
          <w:tcPr>
            <w:tcW w:w="2046" w:type="dxa"/>
            <w:tcBorders/>
            <w:shd w:fill="auto" w:val="clear"/>
            <w:vAlign w:val="center"/>
          </w:tcPr>
          <w:p>
            <w:pPr>
              <w:pStyle w:val="TableContents"/>
              <w:spacing w:before="0" w:after="283"/>
              <w:rPr>
                <w:sz w:val="4"/>
                <w:szCs w:val="4"/>
              </w:rPr>
            </w:pPr>
            <w:r>
              <w:rPr>
                <w:sz w:val="4"/>
                <w:szCs w:val="4"/>
              </w:rPr>
            </w:r>
          </w:p>
        </w:tc>
        <w:tc>
          <w:tcPr>
            <w:tcW w:w="1798" w:type="dxa"/>
            <w:tcBorders/>
            <w:shd w:fill="auto" w:val="clear"/>
            <w:vAlign w:val="center"/>
          </w:tcPr>
          <w:p>
            <w:pPr>
              <w:pStyle w:val="TableContents"/>
              <w:spacing w:before="0" w:after="283"/>
              <w:rPr>
                <w:sz w:val="4"/>
                <w:szCs w:val="4"/>
              </w:rPr>
            </w:pPr>
            <w:r>
              <w:rPr>
                <w:sz w:val="4"/>
                <w:szCs w:val="4"/>
              </w:rPr>
            </w:r>
          </w:p>
        </w:tc>
        <w:tc>
          <w:tcPr>
            <w:tcW w:w="18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5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at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deferral of revenue at period end,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due to beginning contract liabilities recognized as revenue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at December 31, 2022</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deferral of revenue at period end,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due to beginning contract liabilities recognized as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at 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unearned revenue related to outstanding Club O Reward dollars was $10.7 million and $10.9 million at March 31, 2023 and December 31, 2022, respectively. Breakage income related to Club O Reward dollars and gift cards is recognized in Net revenue in our consolidated statements of operations. Breakage included in revenue was $849,000 and $1.1 million for the three months ended March 31, 2023 and 2022. The timing of revenue recognition of these reward dollars is driven by actual customer activities, such as redemptions and expirations.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Sales returns allowance</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additions to and deductions from the sales returns allowance, which is included in our Accrued liabilities balance in our consolidated balance sheets (in thousands):</w:t>
      </w:r>
    </w:p>
    <w:tbl>
      <w:tblPr>
        <w:tblW w:w="4760" w:type="dxa"/>
        <w:jc w:val="center"/>
        <w:tblInd w:w="0" w:type="dxa"/>
        <w:tblCellMar>
          <w:top w:w="28" w:type="dxa"/>
          <w:left w:w="28" w:type="dxa"/>
          <w:bottom w:w="28" w:type="dxa"/>
          <w:right w:w="28" w:type="dxa"/>
        </w:tblCellMar>
      </w:tblPr>
      <w:tblGrid>
        <w:gridCol w:w="1331"/>
        <w:gridCol w:w="1168"/>
        <w:gridCol w:w="1175"/>
        <w:gridCol w:w="211"/>
        <w:gridCol w:w="721"/>
        <w:gridCol w:w="154"/>
      </w:tblGrid>
      <w:tr>
        <w:trPr/>
        <w:tc>
          <w:tcPr>
            <w:tcW w:w="1331"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returns at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the allowance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from the allowance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returns at December 31, 2022</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the allowance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from the allowance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returns at 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13. NET INCOME (LOSS) PER SHARE</w:t>
      </w:r>
      <w:r>
        <w:rPr>
          <w:color w:val="000000"/>
        </w:rPr>
        <w:t xml:space="preserv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(loss) per common share for the periods indicated (in thousands, except per share data):</w:t>
      </w:r>
    </w:p>
    <w:tbl>
      <w:tblPr>
        <w:tblW w:w="8709" w:type="dxa"/>
        <w:jc w:val="center"/>
        <w:tblInd w:w="0" w:type="dxa"/>
        <w:tblCellMar>
          <w:top w:w="28" w:type="dxa"/>
          <w:left w:w="28" w:type="dxa"/>
          <w:bottom w:w="28" w:type="dxa"/>
          <w:right w:w="28" w:type="dxa"/>
        </w:tblCellMar>
      </w:tblPr>
      <w:tblGrid>
        <w:gridCol w:w="2078"/>
        <w:gridCol w:w="1829"/>
        <w:gridCol w:w="1837"/>
        <w:gridCol w:w="211"/>
        <w:gridCol w:w="796"/>
        <w:gridCol w:w="109"/>
        <w:gridCol w:w="109"/>
        <w:gridCol w:w="109"/>
        <w:gridCol w:w="109"/>
        <w:gridCol w:w="211"/>
        <w:gridCol w:w="721"/>
        <w:gridCol w:w="109"/>
        <w:gridCol w:w="109"/>
        <w:gridCol w:w="109"/>
        <w:gridCol w:w="109"/>
        <w:gridCol w:w="154"/>
      </w:tblGrid>
      <w:tr>
        <w:trPr/>
        <w:tc>
          <w:tcPr>
            <w:tcW w:w="2078" w:type="dxa"/>
            <w:tcBorders/>
            <w:shd w:fill="auto" w:val="clear"/>
            <w:vAlign w:val="center"/>
          </w:tcPr>
          <w:p>
            <w:pPr>
              <w:pStyle w:val="TableContents"/>
              <w:spacing w:before="0" w:after="283"/>
              <w:rPr>
                <w:sz w:val="4"/>
                <w:szCs w:val="4"/>
              </w:rPr>
            </w:pPr>
            <w:r>
              <w:rPr>
                <w:sz w:val="4"/>
                <w:szCs w:val="4"/>
              </w:rPr>
            </w:r>
          </w:p>
        </w:tc>
        <w:tc>
          <w:tcPr>
            <w:tcW w:w="1829" w:type="dxa"/>
            <w:tcBorders/>
            <w:shd w:fill="auto" w:val="clear"/>
            <w:vAlign w:val="center"/>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stock dividends—declared and accumulated</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income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Undistributed income (loss) allocated to participating securities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outstanding—basic</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outstanding—diluted</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 of common stock:</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shares were excluded from the calculation of diluted shares outstanding as their effect would have been anti-dilutive (in thousands):</w:t>
      </w:r>
    </w:p>
    <w:tbl>
      <w:tblPr>
        <w:tblW w:w="5163" w:type="dxa"/>
        <w:jc w:val="center"/>
        <w:tblInd w:w="0" w:type="dxa"/>
        <w:tblCellMar>
          <w:top w:w="28" w:type="dxa"/>
          <w:left w:w="28" w:type="dxa"/>
          <w:bottom w:w="28" w:type="dxa"/>
          <w:right w:w="28" w:type="dxa"/>
        </w:tblCellMar>
      </w:tblPr>
      <w:tblGrid>
        <w:gridCol w:w="939"/>
        <w:gridCol w:w="825"/>
        <w:gridCol w:w="831"/>
        <w:gridCol w:w="308"/>
        <w:gridCol w:w="308"/>
        <w:gridCol w:w="201"/>
        <w:gridCol w:w="201"/>
        <w:gridCol w:w="201"/>
        <w:gridCol w:w="201"/>
        <w:gridCol w:w="233"/>
        <w:gridCol w:w="233"/>
        <w:gridCol w:w="201"/>
        <w:gridCol w:w="109"/>
        <w:gridCol w:w="109"/>
        <w:gridCol w:w="109"/>
        <w:gridCol w:w="154"/>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81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ind w:left="0" w:right="0" w:hanging="81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provides information that we believe to be relevant to an understanding of our consolidated financial condition and results of operations. The statements in this section regarding industry outlook, our expectations regarding the performance of our business and any other non-historical statements are forward-looking statements. Our actual results and outcomes may differ materially from those contained in or implied by any forward-looking statements contained herein. These forward-looking statements are subject to numerous risks and uncertainties, including, but not limited to, the risks and uncertainties described in "Special Cautionary Note Regarding Forward Looking Statements" and in Part II, Item 1A, "Risk Factors" included in this Quarterly Report on Form 10-Q. You should read the following discussion together with our consolidated financial statements and related notes included in this Quarterly Report on Form 10-Q and with the sections entitled "Special Cautionary Note Regarding Forward-Looking Statements," Part I, Item 1A, "Risk Factors," and our consolidated financial statements and related notes included in our Annual Report on Form 10-K for the year ended December 31, 2022.</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an online furniture and home furnishings retailer and technology-focused innovator. As used herein, "Overstock," "the Company," "we," "our" and similar terms include Overstock.com, Inc. and our majority-owned subsidiaries, unless the context indicates otherwise.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Overstock provides furniture and home furnishings to assist consumers in "Making Dream Homes Come True," particularly for our target customers—consumers who seek smart value on quality, stylish furniture and home furnishings at competitive prices, and who want an easy shopping experience. We believe that the furniture and home furnishings market, which is highly fragmented and has traditionally been served by brick-and-mortar stores, will continue transitioning to online sales as consumers become increasingly comfortable shopping online for goods in this product category. We continually update and augment our product assortment to meet the evolving preferences of our customers and current trends. Our products include furniture, décor, area rugs, bedding and bath, home improvement, outdoor, and kitchen and dining items, among others. We sell our products and services primarily through our internet websites located at www.overstock.com, www.o.co, www.overstock.ca, and www.overstockgovernment.com (referred to collectively as the "Website") and through our mobile app. Nearly all of our retail sales through our Website and mobile app were from transactions in which we fulfilled orders through our network of manufacturers, distributors and other suppliers ("partners") selling on our Website. Our use of the term "partner" does not mean that we have formed any legal partnerships with any of our retail partners. We provide our partners with access to a large customer base and convenient services for marketing, order fulfillment, customer service, returns handling, and other services. Our supply chain allows us to ship directly to our customers from our partners or from our warehouses. Our warehouses primarily fulfill orders from sales of our partners' owned inventory, including some customer returns of partner products.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focused on growth drivers including increasing our home assortment to improve our brand association with home, making it easier for our customers to find and view a broad assortment of products, increasing mobile app adoption driving higher customer retention and brand loyalty, optimizing our marketing efforts to grow Overstock consideration among home shoppers, growing our customer base in Canada, and gaining market share by strengthening our brand pillars of "Product Findability," "Smart Value," and "Easy Delivery and Support."</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Executive Commentary</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This executive commentary is intended to provide investors with a view of our business through the eyes of our management. As an executive commentary, it necessarily focuses on selected aspects of our business. This executive commentary is intended as a supplement to, but not a substitute for, the more detailed discussion of our business included elsewhere herein. Investors are cautioned to read our entire "Management's Discussion and Analysis of Financial Condition and Results of Operations," our interim and audited financial statements, and the discussion of our business and risk factors and other information included elsewhere or incorporated in this report. This executive commentary includes forward-looking statements, and investors are cautioned to read "Special Cautionary Note Regarding Forward-Looking Statements."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decreased 28.9% for the three months ended March 31, 2023, compared to the same period in 2022. This decrease was primarily due to a 29% decrease in the number of customer orders delivered, while average order value was relatively flat year over year. This decreased order activity was largely driven by the impact of macroeconomic factors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including a heightened inflationary environment and uncertainty impacting consumer sentiment, a shift in consumer spending preferences, and our strategy to exit non-home categories.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decreased 28.4% for the three months ended March 31, 2023, compared to the same period in 2022, primarily due to lower sales and partially offset by an increase in gross margin. Gross margin increased to 23.5% for the three months ended March 31, 2023, compared to 23.4% for the same period in 2022, primarily due to merchandising actions and operational efficiencies. The increase was partially offset by higher promotional discounting and carrier costs.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as a percentage of revenue increased from 10.9% for the three months ended March 31, 2022 to 12.3% for the three months ended March 31, 2023, primarily due to increased performance marketing expenses partially offset by lower brand advertising.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Technology expenses totaled $30.5 million for the three months ended March 31, 2023, a $2.4 million decrease compared to the three months ended March 31, 2022, primarily due to a reduction in staff-related expenses, including a reduction in accrued bonuses.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$773,000 for the three months ended March 31, 2023 compared to the three months ended March 31, 2022, primarily due to a reduction in staff-related expenses, including a reduction in accrued bonuses.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consolidated cash and cash equivalents balance increased from $371.3 million as of December 31, 2022, to $374.7 million as of March 31, 2023.</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Additional commentary related to macroeconomic trends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continue to monitor recent macroeconomic trends, including, but not limited to, geopolitical events, fluctuating interest rates, and inflation. These events have and may continue to negatively impact consumer confidence and consumer spending which have and may continue to adversely affect our business and our results of operations. Due to the uncertain and constantly evolving nature and volatility created by these disruptions to global economic activities, we cannot currently predict the long-term impact of these events on our operations and financial results. Nevertheless, as of March 31, 2023, the challenges arising from these events have not adversely affected our liquidity or capacity to service our debt, nor have these conditions required us to reduce our capital expenditures.</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Comparisons of Three Months Ended March 31, 2023 to Three Months Ended March 31, 2022.</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Net revenue, cost of goods sold, gross profit and gross margin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net revenue, cost of goods sold, and gross profit (in thousands):</w:t>
      </w:r>
    </w:p>
    <w:tbl>
      <w:tblPr>
        <w:tblW w:w="6978" w:type="dxa"/>
        <w:jc w:val="center"/>
        <w:tblInd w:w="0" w:type="dxa"/>
        <w:tblCellMar>
          <w:top w:w="28" w:type="dxa"/>
          <w:left w:w="28" w:type="dxa"/>
          <w:bottom w:w="28" w:type="dxa"/>
          <w:right w:w="28" w:type="dxa"/>
        </w:tblCellMar>
      </w:tblPr>
      <w:tblGrid>
        <w:gridCol w:w="1286"/>
        <w:gridCol w:w="1133"/>
        <w:gridCol w:w="1135"/>
        <w:gridCol w:w="211"/>
        <w:gridCol w:w="826"/>
        <w:gridCol w:w="271"/>
        <w:gridCol w:w="109"/>
        <w:gridCol w:w="109"/>
        <w:gridCol w:w="109"/>
        <w:gridCol w:w="211"/>
        <w:gridCol w:w="826"/>
        <w:gridCol w:w="271"/>
        <w:gridCol w:w="109"/>
        <w:gridCol w:w="109"/>
        <w:gridCol w:w="109"/>
        <w:gridCol w:w="154"/>
      </w:tblGrid>
      <w:tr>
        <w:trPr/>
        <w:tc>
          <w:tcPr>
            <w:tcW w:w="1286"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 and other cost of goods sold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276,621 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388,970 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fees, customer service, and 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89,713 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percentage changes</w:t>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 of total net revenue</w:t>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 and other cost of goods sold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fees, customer service, and 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28.9% decrease in net revenue for the three months ended March 31, 2023, as compared to the same period in 2022, was primarily due to a 29% decrease in the number of customer orders delivered, while average order value was relatively flat year over year. This decreased order activity was largely driven by the impact of macroeconomic factors including a heightened inflationary environment and uncertainty impacting consumer sentiment, a shift in consumer spending preferences, and our strategy to exit non-home categories.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cannot estimate the impact that macroeconomic conditions, such as supply chain challenges, inflation, rising interest rates, or geopolitical events will have on our business in the future due to the unpredictable nature of the ultimate development and duration of these conditions.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International net revenues were less than 1% of total net revenues for each of the three months ended March 31, 2023 and 2022.</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Change in estimate of average transit times (days)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revenue related to merchandise sales is recognized upon delivery to our customers. As we ship high volumes of packages through multiple carriers, it is not practical for us to track the actual delivery date of each shipment. Therefore, we use estimates to determine which shipments are delivered and, therefore, recognized as revenue at the end of the period. Our delivery date estimates are based on average shipping transit times. We review and update our estimates on a quarterly basis based on our actual transit time experience. However, actual shipping times may differ from our estimates, which can be further impacted by uncertainty, volatility, and any disruption to our carriers caused by certain macroeconomic conditions, such as supply chain challenges, inflation, rising interest rates, or geopolitical events.</w:t>
      </w:r>
    </w:p>
    <w:p>
      <w:pPr>
        <w:pStyle w:val="TextBody"/>
        <w:spacing w:lineRule="auto" w:line="288" w:before="0" w:after="0"/>
        <w:ind w:left="0" w:right="0" w:firstLine="72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effect that hypothetical changes in the estimate of average shipping transit times would have had on the reported amount of revenue and income before income taxes (in thousands):</w:t>
      </w:r>
    </w:p>
    <w:tbl>
      <w:tblPr>
        <w:tblW w:w="9953" w:type="dxa"/>
        <w:jc w:val="center"/>
        <w:tblInd w:w="0" w:type="dxa"/>
        <w:tblCellMar>
          <w:top w:w="28" w:type="dxa"/>
          <w:left w:w="28" w:type="dxa"/>
          <w:bottom w:w="28" w:type="dxa"/>
          <w:right w:w="28" w:type="dxa"/>
        </w:tblCellMar>
      </w:tblPr>
      <w:tblGrid>
        <w:gridCol w:w="1767"/>
        <w:gridCol w:w="1553"/>
        <w:gridCol w:w="1555"/>
        <w:gridCol w:w="109"/>
        <w:gridCol w:w="109"/>
        <w:gridCol w:w="109"/>
        <w:gridCol w:w="332"/>
        <w:gridCol w:w="1252"/>
        <w:gridCol w:w="171"/>
        <w:gridCol w:w="109"/>
        <w:gridCol w:w="109"/>
        <w:gridCol w:w="109"/>
        <w:gridCol w:w="533"/>
        <w:gridCol w:w="1747"/>
        <w:gridCol w:w="389"/>
      </w:tblGrid>
      <w:tr>
        <w:trPr/>
        <w:tc>
          <w:tcPr>
            <w:tcW w:w="1767"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747"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2023</w:t>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the Estimate of Average Transit Times (Days)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br/>
              <w:t>Revenue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br/>
              <w:t> Income Before Income Taxes</w:t>
            </w:r>
          </w:p>
        </w:tc>
      </w:tr>
      <w:tr>
        <w:trPr/>
        <w:tc>
          <w:tcPr>
            <w:tcW w:w="48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(14,597)</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Gross profit and gross margin</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overall gross margins fluctuate based on competitive pricing; product costs; discounting; product mix of sales; advertising revenue and our marketing allowance program; and operational and fulfillment costs. Merchant fees, customer service, and other (previously labeled "Fulfillment and related costs") include merchant processing fees associated with customer payments made by credit cards and other payment methods and other variable fees, customer service costs, costs incurred to operate and staff our warehouses, including rent and depreciation expense associated with these facilities, costs to receive, inspect, pick, and prepare customer order for delivery, and direct and indirect labor costs including payroll, payroll-related benefits, and stock-based compensation, all of which we include as costs in calculating gross margin. Merchant fees, customer service, and other as a percentage of sales may vary due to several factors, such as our ability to effectively manage merchant fees, customer service costs, and warehouse costs. We believe that some companies in our industry, including some of our competitors, account for merchant fees, customer service, and other costs within operating expenses, and therefore exclude merchant fees, customer service, and other costs from gross margin. As a result, our gross margin may not be directly comparable to others in our industry.</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Gross margins for the past five quarterly periods and fiscal year ending 2022 were:</w:t>
      </w:r>
    </w:p>
    <w:tbl>
      <w:tblPr>
        <w:tblW w:w="9115" w:type="dxa"/>
        <w:jc w:val="center"/>
        <w:tblInd w:w="0" w:type="dxa"/>
        <w:tblCellMar>
          <w:top w:w="28" w:type="dxa"/>
          <w:left w:w="28" w:type="dxa"/>
          <w:bottom w:w="28" w:type="dxa"/>
          <w:right w:w="28" w:type="dxa"/>
        </w:tblCellMar>
      </w:tblPr>
      <w:tblGrid>
        <w:gridCol w:w="429"/>
        <w:gridCol w:w="377"/>
        <w:gridCol w:w="379"/>
        <w:gridCol w:w="255"/>
        <w:gridCol w:w="256"/>
        <w:gridCol w:w="458"/>
        <w:gridCol w:w="109"/>
        <w:gridCol w:w="109"/>
        <w:gridCol w:w="109"/>
        <w:gridCol w:w="255"/>
        <w:gridCol w:w="256"/>
        <w:gridCol w:w="458"/>
        <w:gridCol w:w="109"/>
        <w:gridCol w:w="109"/>
        <w:gridCol w:w="109"/>
        <w:gridCol w:w="255"/>
        <w:gridCol w:w="256"/>
        <w:gridCol w:w="458"/>
        <w:gridCol w:w="109"/>
        <w:gridCol w:w="109"/>
        <w:gridCol w:w="109"/>
        <w:gridCol w:w="255"/>
        <w:gridCol w:w="256"/>
        <w:gridCol w:w="458"/>
        <w:gridCol w:w="109"/>
        <w:gridCol w:w="109"/>
        <w:gridCol w:w="109"/>
        <w:gridCol w:w="255"/>
        <w:gridCol w:w="256"/>
        <w:gridCol w:w="458"/>
        <w:gridCol w:w="109"/>
        <w:gridCol w:w="109"/>
        <w:gridCol w:w="109"/>
        <w:gridCol w:w="255"/>
        <w:gridCol w:w="256"/>
        <w:gridCol w:w="458"/>
        <w:gridCol w:w="109"/>
        <w:gridCol w:w="109"/>
        <w:gridCol w:w="109"/>
        <w:gridCol w:w="154"/>
      </w:tblGrid>
      <w:tr>
        <w:trPr/>
        <w:tc>
          <w:tcPr>
            <w:tcW w:w="42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Q3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Q4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FY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for the three months ended March 31, 2023 decreased 28.4% compared to the same period in 2022, due to lower sales and partially offset by an increase in gross margin. Gross margin increased to 23.5% for the three months ended March 31, 2023, compared to 23.4% for the same period in 2022, primarily due to merchandising actions and operational efficiencies. The increase was partially offset by higher promotional discounting and carrier costs.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use a variety of online advertising channels to attract new and repeat customers, including search engine marketing, personalized emails, mobile app, loyalty program, affiliate marketing, display banners, and social media. We also build our brand awareness through linear and streaming TV.</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Costs associated with our discounted shipping and other promotions, such as coupons, are not included in sales and marketing expense. Rather, they are accounted for as a reduction in revenue as they reduce the amount of consideration we expect to receive in exchange for goods or services and therefore affect net revenues and gross margin. We consider discounted shipping and other promotions, such as our policy for free shipping on orders, as an effective marketing tool.</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sales and marketing expenses (in thousands):</w:t>
      </w:r>
    </w:p>
    <w:tbl>
      <w:tblPr>
        <w:tblW w:w="8404" w:type="dxa"/>
        <w:jc w:val="center"/>
        <w:tblInd w:w="0" w:type="dxa"/>
        <w:tblCellMar>
          <w:top w:w="28" w:type="dxa"/>
          <w:left w:w="28" w:type="dxa"/>
          <w:bottom w:w="28" w:type="dxa"/>
          <w:right w:w="28" w:type="dxa"/>
        </w:tblCellMar>
      </w:tblPr>
      <w:tblGrid>
        <w:gridCol w:w="1876"/>
        <w:gridCol w:w="1651"/>
        <w:gridCol w:w="1663"/>
        <w:gridCol w:w="211"/>
        <w:gridCol w:w="721"/>
        <w:gridCol w:w="271"/>
        <w:gridCol w:w="109"/>
        <w:gridCol w:w="109"/>
        <w:gridCol w:w="109"/>
        <w:gridCol w:w="211"/>
        <w:gridCol w:w="721"/>
        <w:gridCol w:w="271"/>
        <w:gridCol w:w="109"/>
        <w:gridCol w:w="109"/>
        <w:gridCol w:w="109"/>
        <w:gridCol w:w="154"/>
      </w:tblGrid>
      <w:tr>
        <w:trPr/>
        <w:tc>
          <w:tcPr>
            <w:tcW w:w="1876"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16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included in sales and marketing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percentage changes</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included in sales and marketing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net revenues</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included in sales and marketing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140 basis point increase in sales and marketing expenses as a percent of net revenues for the three months ended March 31, 2023, as compared to the same period in 2022, was primarily due to increased performance marketing expenses partially offset by lower brand advertising.</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Technology expenses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seek to deploy our capital resources efficiently in technology to support operations including private and public cloud, web services, customer support solutions, and product search. We also invest in technology to enhance the customer experience including machine learning algorithms, improving our process efficiency, modernizing and expanding our systems, and supporting and expanding our logistics infrastructure. We expect to continue to incur technology expenses to support these efforts and these expenditures may continue to be material.</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frequency and variety of cyberattacks on our Website, enterprise systems, services, and on third parties we use to support our technology continues to increase. The impact of such attacks, their costs, and the costs we incur to protect ourselves against future attacks, have not been material to date. However, we consider the risk introduced by cyberattacks to be serious and will continue to incur costs related to efforts to protect ourselves against them.</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technology expenses (in thousands):</w:t>
      </w:r>
    </w:p>
    <w:tbl>
      <w:tblPr>
        <w:tblW w:w="7369" w:type="dxa"/>
        <w:jc w:val="center"/>
        <w:tblInd w:w="0" w:type="dxa"/>
        <w:tblCellMar>
          <w:top w:w="28" w:type="dxa"/>
          <w:left w:w="28" w:type="dxa"/>
          <w:bottom w:w="28" w:type="dxa"/>
          <w:right w:w="28" w:type="dxa"/>
        </w:tblCellMar>
      </w:tblPr>
      <w:tblGrid>
        <w:gridCol w:w="1504"/>
        <w:gridCol w:w="1323"/>
        <w:gridCol w:w="1328"/>
        <w:gridCol w:w="211"/>
        <w:gridCol w:w="721"/>
        <w:gridCol w:w="271"/>
        <w:gridCol w:w="109"/>
        <w:gridCol w:w="109"/>
        <w:gridCol w:w="109"/>
        <w:gridCol w:w="211"/>
        <w:gridCol w:w="721"/>
        <w:gridCol w:w="271"/>
        <w:gridCol w:w="109"/>
        <w:gridCol w:w="109"/>
        <w:gridCol w:w="109"/>
        <w:gridCol w:w="154"/>
      </w:tblGrid>
      <w:tr>
        <w:trPr/>
        <w:tc>
          <w:tcPr>
            <w:tcW w:w="1504"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percentage change</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expenses as a percent of net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$2.4 million decrease in technology expenses for the three months ended March 31, 2023, as compared to the same period in 2022, was primarily due to a reduction in staff-related expenses, including a reduction in accrued bonuses.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expenses </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general and administrative expenses (in thousands):</w:t>
      </w:r>
    </w:p>
    <w:tbl>
      <w:tblPr>
        <w:tblW w:w="8569" w:type="dxa"/>
        <w:jc w:val="center"/>
        <w:tblInd w:w="0" w:type="dxa"/>
        <w:tblCellMar>
          <w:top w:w="28" w:type="dxa"/>
          <w:left w:w="28" w:type="dxa"/>
          <w:bottom w:w="28" w:type="dxa"/>
          <w:right w:w="28" w:type="dxa"/>
        </w:tblCellMar>
      </w:tblPr>
      <w:tblGrid>
        <w:gridCol w:w="1941"/>
        <w:gridCol w:w="1705"/>
        <w:gridCol w:w="1709"/>
        <w:gridCol w:w="211"/>
        <w:gridCol w:w="721"/>
        <w:gridCol w:w="271"/>
        <w:gridCol w:w="109"/>
        <w:gridCol w:w="109"/>
        <w:gridCol w:w="109"/>
        <w:gridCol w:w="211"/>
        <w:gridCol w:w="721"/>
        <w:gridCol w:w="271"/>
        <w:gridCol w:w="109"/>
        <w:gridCol w:w="109"/>
        <w:gridCol w:w="109"/>
        <w:gridCol w:w="154"/>
      </w:tblGrid>
      <w:tr>
        <w:trPr/>
        <w:tc>
          <w:tcPr>
            <w:tcW w:w="1941" w:type="dxa"/>
            <w:tcBorders/>
            <w:shd w:fill="auto" w:val="clear"/>
            <w:vAlign w:val="center"/>
          </w:tcPr>
          <w:p>
            <w:pPr>
              <w:pStyle w:val="TableContents"/>
              <w:spacing w:before="0" w:after="283"/>
              <w:rPr>
                <w:sz w:val="4"/>
                <w:szCs w:val="4"/>
              </w:rPr>
            </w:pPr>
            <w:r>
              <w:rPr>
                <w:sz w:val="4"/>
                <w:szCs w:val="4"/>
              </w:rPr>
            </w:r>
          </w:p>
        </w:tc>
        <w:tc>
          <w:tcPr>
            <w:tcW w:w="1705"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55"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percentage change</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as a percent of net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$773,000 decrease in general and administrative expenses for the three months ended March 31, 2023, as compared to the same period in 2022, was primarily due to a reduction in staff-related expenses, including a reduction in accrued bonuses.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Other expense, net</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Other expense, net for the</w:t>
      </w:r>
      <w:r>
        <w:rPr>
          <w:color w:val="000000"/>
        </w:rPr>
        <w:t xml:space="preserve"> </w:t>
      </w:r>
      <w:r>
        <w:rPr>
          <w:rFonts w:ascii="Times New Roman;sans-serif" w:hAnsi="Times New Roman;sans-serif"/>
          <w:b w:val="false"/>
          <w:color w:val="000000"/>
          <w:sz w:val="20"/>
        </w:rPr>
        <w:t>three months ended March 31, 2023 was $7.4 million as compared to $114,000 for the three months ended March 31, 2022. The increase was primarily due to a $6.9 million increase in loss recognized from our equity method securities.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for interim periods is determined using an estimate of our annual effective tax rate adjusted for discrete items, if any, for relevant interim periods. We update our estimate of the annual effective tax rate each quarter and make cumulative adjustments if our estimated annual effective tax rate changes.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quarterly tax provision and our quarterly estimate of our annual effective tax rate are subject to significant variations due to several factors including: variability in predicting our pre-tax and taxable income, the mix of jurisdictions to which those items relate, relative changes in expenses or losses for which tax benefits are limited or not recognized, how we do business, fluctuations in our stock price, economic outlook, political climate, and other conditions such as supply chain challenges, inflation, rising interest rates, and geopolitical events. In addition, changes in laws, regulations, and administrative practices will impact our rate. Our effective tax rate can be volatile based on the amount of pre-tax income. For example, the impact of discrete items on our effective tax rate is greater when pre-tax income is lower.</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provision (benefit) for income tax for the three months ended March 31, 2023 and 2022 was $(2.9) million and $2.1 million, respectively. The decrease in our tax provision compared to the same period in 2022 is mostly due to the decrease in income from operations. The effective tax rate for the three months ended March 31, 2023 and 2022 was 21.9% and 17.1%, respectively. Our effective tax rate changed from the comparative period in 2022 primarily due to an increase in tax deficiencies recognized from stock-based compensation. Our effective tax rate for the three months ended March 31, 2023 differs from the statutory federal income tax rate of 21% primarily due to the U.S. federal R&amp;D credit, state income taxes, and tax impacts from stock-based compensation, including tax deficiencies recognized from stock-based compensation in the current quarter, and changes in estimates. Stock-based compensation may increase or decrease our effective tax rate based upon the difference between our stock-based compensation expense and the deductions taken on our tax return, which depend upon the stock price at the time of employee award vesting.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Each quarter we assess the recoverability of our deferred tax assets under ASC Topic 740. We assess available positive and negative evidence to estimate whether we will generate sufficient future taxable income to use our existing deferred tax assets. We have no carryback ability, and therefore we must rely on future taxable income, including tax planning strategies and future reversals of taxable temporary differences, to support their realizability. We maintain a valuation allowance against our deferred tax assets for capital losses and the state of Utah where not supported by future reversals of taxable temporary differences, because of the uncertainty regarding the realizability of these deferred tax assets. Any activities that impact the valuation allowance will be recognized discretely in the period in which they occur. We will continue to monitor the need for a valuation allowance against our other deferred tax assets on a quarterly basis.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subject to taxation in the United States and multiple state and foreign jurisdictions. Tax years beginning in 2018 are subject to examination by taxing authorities, although net operating loss and credit carryforwards from all years are subject to examinations and adjustments for at least three years following the year in which the attributes are used.</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and cash equivalents currently on hand and expected cash flows from future operations will be sufficient to continue operations for at least the next twelve months. We continue to monitor, evaluate, and manage our operating plans, forecasts, and liquidity considering the most recent developments driven by macroeconomic conditions, such as supply chain challenges, inflation, rising interest rates, and geopolitical events. We proactively seek opportunities to improve the efficiency of our operations and have in the past and may in the future take steps to realize internal cost savings, including aligning our staffing needs based on our current and expected future levels of operations and process streamlining.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Current sources of liquidity</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sources of liquidity are existing cash and cash equivalents and accounts receivable, net. At March 31, 2023, we had $374.7 million of cash and cash equivalents and $22.1 million of accounts receivable, net.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March 31, 2023, we had $150.0 million available under our "at the market" sales program which permits us to conduct "at the market" sales of our common stock under the Sales Agreement.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Cash flow information is as follows (in thousands):</w:t>
      </w:r>
    </w:p>
    <w:tbl>
      <w:tblPr>
        <w:tblW w:w="4868" w:type="dxa"/>
        <w:jc w:val="center"/>
        <w:tblInd w:w="0" w:type="dxa"/>
        <w:tblCellMar>
          <w:top w:w="28" w:type="dxa"/>
          <w:left w:w="28" w:type="dxa"/>
          <w:bottom w:w="28" w:type="dxa"/>
          <w:right w:w="28" w:type="dxa"/>
        </w:tblCellMar>
      </w:tblPr>
      <w:tblGrid>
        <w:gridCol w:w="875"/>
        <w:gridCol w:w="768"/>
        <w:gridCol w:w="771"/>
        <w:gridCol w:w="211"/>
        <w:gridCol w:w="721"/>
        <w:gridCol w:w="109"/>
        <w:gridCol w:w="109"/>
        <w:gridCol w:w="109"/>
        <w:gridCol w:w="109"/>
        <w:gridCol w:w="211"/>
        <w:gridCol w:w="721"/>
        <w:gridCol w:w="154"/>
      </w:tblGrid>
      <w:tr>
        <w:trPr/>
        <w:tc>
          <w:tcPr>
            <w:tcW w:w="87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(used in):</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(29,286)</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Cash received from customers generally corresponds to our net revenues as our customers primarily use credit cards to buy from us, causing our receivables from these sales transactions to settle quickly. We have payment terms with our partners that generally extend beyond the amount of time necessary to collect proceeds from our customers. </w:t>
      </w:r>
    </w:p>
    <w:p>
      <w:pPr>
        <w:pStyle w:val="TextBody"/>
        <w:spacing w:before="0" w:after="0"/>
        <w:ind w:left="0" w:right="0" w:firstLine="54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$20.0 million of net cash provided by operating activities during the three months ended March 31, 2023 was primarily due to income from operating activities adjusted for non-cash items of $6.4 million and cash provided by changes in operating assets and liabilities of $13.6 million.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$33.2 million of net cash provided by operating activities during the three months ended March 31, 2022 was primarily due to income from operating activities adjusted for non-cash items of $21.5 million and cash provided by changes in operating assets and liabilities of $11.7 million.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investing activities resulted in a net cash outflow of $14.8 million, primarily due to $10.0 million for disbursement for notes receivable and $5.3 million of expenditures for property and equipment.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investing activities resulted in a net cash outflow of $13.8 million, primarily due to $11.4 million for purchases of equity securities and $3.3 million of expenditures for property and equipment.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financing activities resulted in a net cash outflow of $1.7 million primarily due to $1.9 million for payment of taxes withheld upon vesting of employee stock awards.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financing activities resulted in a net cash outflow of $29.3 million primarily due to $25.2 million for repurchases of our common stock and Series A-1 preferred stock under the Repurchase Program and $3.3 million for payment of taxes withheld upon vesting of employee stock awards.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contractual obligations as of March 31, 2023 and the effect such obligations and commitments are expected to have on our liquidity and cash flow in future periods (in thousands):</w:t>
      </w:r>
    </w:p>
    <w:tbl>
      <w:tblPr>
        <w:tblW w:w="10181" w:type="dxa"/>
        <w:jc w:val="center"/>
        <w:tblInd w:w="0" w:type="dxa"/>
        <w:tblCellMar>
          <w:top w:w="28" w:type="dxa"/>
          <w:left w:w="28" w:type="dxa"/>
          <w:bottom w:w="28" w:type="dxa"/>
          <w:right w:w="28" w:type="dxa"/>
        </w:tblCellMar>
      </w:tblPr>
      <w:tblGrid>
        <w:gridCol w:w="1048"/>
        <w:gridCol w:w="922"/>
        <w:gridCol w:w="924"/>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334"/>
        <w:gridCol w:w="1143"/>
        <w:gridCol w:w="172"/>
        <w:gridCol w:w="154"/>
      </w:tblGrid>
      <w:tr>
        <w:trPr/>
        <w:tc>
          <w:tcPr>
            <w:tcW w:w="1048"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6" w:type="dxa"/>
            <w:gridSpan w:val="27"/>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w:t>
              <w:br/>
              <w:t>1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5 years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agreements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37,468 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cash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37,468 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__________________________________________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    Represents the future minimum lease payments under non-cancellable operating leases. For information regarding our operating lease obligations, see Note 7—Leases, in the Notes to Unaudited Consolidated Financial Statements included in Item 1, Part I, Financial Statements (Unaudited) of this Quarterly Report on Form 10-Q.</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    Represents future interest and principal payments on the financing agreements with Loan Core Capital Funding Corporation LLC. For information regarding our financing agreements, see Note 6—Borrowings, in the Notes to Unaudited Consolidated Financial Statements included in Item 1, Part I, Financial Statements (Unaudited) of this Quarterly Report on Form 10-Q.</w:t>
      </w:r>
    </w:p>
    <w:p>
      <w:pPr>
        <w:pStyle w:val="TextBody"/>
        <w:spacing w:before="0" w:after="0"/>
        <w:ind w:left="0" w:right="0" w:hanging="36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Tax contingencies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tax matters, the outcomes of which are uncertain. As of March 31, 2023, accrued tax contingencies were $3.6 million. Changes in state, federal, and foreign tax laws may increase our tax contingencies. The timing of the resolution of income tax contingencies is highly uncertain, and the amounts ultimately paid, if any, upon resolution of issues raised by the taxing authorities may differ from the amounts accrued. It is reasonably possible that within the next 12 months we will receive additional assessments by various tax authorities. These assessments may or may not result in changes to our contingencies related to positions on prior years' tax filings.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preparation of our financial statements requires that we make estimates and judgments. We base these on historical experience and on other assumptions that we believe to be reasonable. There have been no material changes to our critical accounting policies and estimates as compared to the critical accounting policies and estimates described in Note 2—Accounting Policies and Supplemental Disclosures, included in Part II, Item 8, Financial Statements and Supplementary Data, of our Annual Report on Form 10-K for the year ended December 31, 2022.</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subject to a wide variety of laws, rules, mandates, and regulations, some of which apply or may apply to us as a result of our retail business, and others of which apply to us for other reasons, such as our status as a publicly held company or the places in which we sell certain types or amounts of products. Our retail business is subject to general business regulations and laws, regulations and laws specifically governing the internet, e-commerce, and other services we offer. Existing and future laws and regulations may result in increasing expense and may impede our growth. Applicable and potentially applicable regulations and laws include regulations and laws regarding taxation, privacy, data protection, pricing, content, copyrights, distribution, mobile communications, electronic device certification, electronic waste, energy consumption, environmental regulation, electronic contracts and other communications, competition, consumer protection, employment, import and export matters, information reporting requirements, access to our services and facilities, the design and operation of websites, health, safety, and sanitation standards, the characteristics and quality of products and services, product labeling and unfair and deceptive trade practices.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efforts to expand our retail business outside of the U.S. expose us to foreign and additional U.S. laws and regulations, including but not limited to, laws and regulations relating to taxation, business licensing or certification requirements, advertising practices, online services, the importation of specified or proscribed items, importation quotas, consumer protection, intellectual property rights, consumer and data protection, privacy, encryption, restrictions on pricing or discounts, and the U.S. Foreign Corrupt Practices Act and other applicable U.S. and foreign laws prohibiting corrupt payments to government officials and other third parties.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for the effect of interest rate changes, foreign currency fluctuations, and changes in the market values of our securities. Information relating to quantitative and qualitative disclosures about these market risks is set forth below.</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Interest Rate Sensitivity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 of our cash and cash equivalents (highly liquid instruments with a remaining maturity of 90 days or less at the date of purchase) would not be significantly affected by either an increase or decrease in interest rates due mainly to the short-term nature of these instruments.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loan agreements carry a fixed blended annual interest rate of 4.45%. As a result, we have no direct financial statement risk associated with changes in interest rates.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sales and operating expenses are denominated in U.S. dollars, and therefore, our total revenue and operating expenses are not currently subject to significant foreign currency risk.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Inflation</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Increases in commodity and shipping prices and energy and labor costs have resulted in inflationary pressures across various parts of our business and operations, including our partners and supply chain. We continue to monitor the impact of inflation to minimize its effects on our customers. We work with our partners to limit the amount of cost increases that are passed on through higher pricing. If costs borne by ourselves or our partners were to be subject to incremental inflationary pressures, we may not be able to fully offset such higher costs through pricing actions or other cost efficiency measures. Our inability or failure to do so could harm our business, financial condition, and results of operations.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Investment Risk</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our equity and debt securities may be subject to fluctuations due to volatility of the stock market in general, investment-specific circumstances, and changes in general economic conditions. At March 31, 2023, our recorded value in equity securities in public and private companies was $289.1 million, of which $24,000 relates to publicly traded companies, recorded at fair value, which are subject to market price volatility. At March 31, 2023, $82.8 million of our equity securities and $10.1 million of our debt securities are in private companies, recorded at fair value using Level 3 inputs. Our fair value assessment of private companies includes a review of recent operating results and trends, recent sales/acquisitions of the securities, and other publicly available data. Valuations of private companies are inherently more complex due to the lack of readily available market data. As such, we believe that market sensitivities are not practicable. These investments valued using Level 3 inputs represents 26.7% of assets measured at fair value. See Note 3—Fair Value Measurement for further information. For our equity interest in Medici Ventures, L.P., we record our proportionate share of the entity's reported net income or loss, which reflects the fair value changes of the underlying investments of the entity and any other income or losses of the entity. </w:t>
      </w:r>
    </w:p>
    <w:p>
      <w:pPr>
        <w:pStyle w:val="TextBody"/>
        <w:spacing w:before="0" w:after="0"/>
        <w:rPr/>
      </w:pPr>
      <w:r>
        <w:rPr/>
      </w:r>
    </w:p>
    <w:p>
      <w:pPr>
        <w:pStyle w:val="TextBody"/>
        <w:spacing w:before="0" w:after="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such term is defined in Rule 13a-15(e) and 15d-15(e) of the Securities Exchange Act of 1934, as amended (the "Exchange Act"). The term disclosure controls and procedures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Commission's rules and forms.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 13a-15(e) of the Exchange Act, as of the end of the period covered by this report. Based on this evaluation, our principal executive officer and principal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Limitations on Disclosure Controls and Procedures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disclosure controls and procedures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Changes in Disclosure Controls and Procedures and Internal Control Over Financial Reporting</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either our disclosure controls and procedures or our internal controls over financial reporting that occurred during the quarter ended March 31, 2023, that have materially affected, or are reasonably likely to materially affect, our disclosure controls and procedures or our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lineRule="auto" w:line="288" w:before="0" w:after="0"/>
        <w:jc w:val="center"/>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or become subject to litigation or other legal proceedings concerning consumer protection, employment, intellectual property, claims under the securities laws, and other commercial matters related to the conduct and operation of our business and the sale of products on our Website. We also prosecute lawsuits to enforce our legal rights. In connection with such litigation or other legal proceedings, we have been in the past and we may be in the future subject to significant damages, associated costs, or equitable remedies relating to the operation of our business.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For additional details, see the information set forth under Item 1 of Part I, Financial Statements—Note 8—Commitments and Contingencies, subheading Legal Proceedings and Contingencies, contained in the Notes to Unaudited Consolidated Financial Statements of this Quarterly Report on Form 10-Q, which is incorporated by reference in answer to this Item.</w:t>
      </w:r>
    </w:p>
    <w:p>
      <w:pPr>
        <w:pStyle w:val="TextBody"/>
        <w:spacing w:lineRule="auto" w:line="288" w:before="0" w:after="0"/>
        <w:ind w:left="0" w:right="0" w:firstLine="54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are no material changes from the risk factors previously disclosed in Part I - Item 1A - "Risk Factors," of our Annual Report on Form 10-K for the year ended December 31, 2022.</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Recent Purchases of Equity Securities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See Note 10—Stockholders' Equity, in the Notes to Unaudited Consolidated Financial Statements included in Item 1, Part I, Financial Statements (Unaudited) of this Quarterly Report on Form 10-Q for information regarding our authorized share repurchase program. There were no repurchases made during the three months ended March 31, 2023. As of March 31, 2023, the approximate dollar value of shares that may yet be purchased under the stock repurchase program is $19.9 million.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288" w:before="0" w:after="0"/>
        <w:ind w:left="0" w:right="0" w:firstLine="72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417"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69"/>
        <w:gridCol w:w="269"/>
        <w:gridCol w:w="271"/>
        <w:gridCol w:w="109"/>
        <w:gridCol w:w="109"/>
        <w:gridCol w:w="109"/>
        <w:gridCol w:w="2490"/>
        <w:gridCol w:w="2478"/>
        <w:gridCol w:w="343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0" w:type="dxa"/>
            <w:tcBorders/>
            <w:shd w:fill="auto" w:val="clear"/>
            <w:vAlign w:val="center"/>
          </w:tcPr>
          <w:p>
            <w:pPr>
              <w:pStyle w:val="TableContents"/>
              <w:spacing w:before="0" w:after="283"/>
              <w:rPr>
                <w:sz w:val="4"/>
                <w:szCs w:val="4"/>
              </w:rPr>
            </w:pPr>
            <w:r>
              <w:rPr>
                <w:sz w:val="4"/>
                <w:szCs w:val="4"/>
              </w:rPr>
            </w:r>
          </w:p>
        </w:tc>
        <w:tc>
          <w:tcPr>
            <w:tcW w:w="2478" w:type="dxa"/>
            <w:tcBorders/>
            <w:shd w:fill="auto" w:val="clear"/>
            <w:vAlign w:val="center"/>
          </w:tcPr>
          <w:p>
            <w:pPr>
              <w:pStyle w:val="TableContents"/>
              <w:spacing w:before="0" w:after="283"/>
              <w:rPr>
                <w:sz w:val="4"/>
                <w:szCs w:val="4"/>
              </w:rPr>
            </w:pPr>
            <w:r>
              <w:rPr>
                <w:sz w:val="4"/>
                <w:szCs w:val="4"/>
              </w:rPr>
            </w:r>
          </w:p>
        </w:tc>
        <w:tc>
          <w:tcPr>
            <w:tcW w:w="343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Overstock.com, Inc. Key Employee Severance Plan, incorporated by reference to Exhibit 10.1 to the Company's Current Report on Form 8-K filed on March 24, 2023</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stk-20230331xexx311.htm">
              <w:r>
                <w:rPr>
                  <w:rStyle w:val="InternetLink"/>
                  <w:rFonts w:ascii="Times New Roman;sans-serif" w:hAnsi="Times New Roman;sans-serif"/>
                  <w:b w:val="false"/>
                  <w:color w:val="0000FF"/>
                  <w:sz w:val="20"/>
                  <w:u w:val="single"/>
                </w:rPr>
                <w:t>Exhibit 31.1 Certification of Chief Executive Officer</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stk-20230331xexx312.htm">
              <w:r>
                <w:rPr>
                  <w:rStyle w:val="InternetLink"/>
                  <w:rFonts w:ascii="Times New Roman;sans-serif" w:hAnsi="Times New Roman;sans-serif"/>
                  <w:b w:val="false"/>
                  <w:color w:val="0000FF"/>
                  <w:sz w:val="20"/>
                  <w:u w:val="single"/>
                </w:rPr>
                <w:t>Exhibit 31.2 Certification of Chief Financial Officer</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stk-20230331xexx321.htm">
              <w:r>
                <w:rPr>
                  <w:rStyle w:val="InternetLink"/>
                  <w:rFonts w:ascii="Times New Roman;sans-serif" w:hAnsi="Times New Roman;sans-serif"/>
                  <w:b w:val="false"/>
                  <w:color w:val="0000FF"/>
                  <w:sz w:val="20"/>
                  <w:u w:val="single"/>
                </w:rPr>
                <w:t>Exhibit 32.1 Section 1350 Certification of Chief Executive Officer</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stk-20230331xexx322.htm">
              <w:r>
                <w:rPr>
                  <w:rStyle w:val="InternetLink"/>
                  <w:rFonts w:ascii="Times New Roman;sans-serif" w:hAnsi="Times New Roman;sans-serif"/>
                  <w:b w:val="false"/>
                  <w:color w:val="0000FF"/>
                  <w:sz w:val="20"/>
                  <w:u w:val="single"/>
                </w:rPr>
                <w:t>Exhibit 32.2 Section 1350 Certification of Chief Financial Officer</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Attached as Exhibit 101 to this report are the following documents formatted in XBRL (Extensible Business Reporting Language): (i) Consolidated Balance Sheets, (ii) Consolidated Statements of Operations, (iii) Consolidated Statements of Comprehensive Income (Loss), (iv) Consolidated Statements of Cash Flows, (v) Consolidated Statements of Stockholders' Equity, and (vi) Notes to Consolidated Financial Statements.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Company's Quarterly Report on Form 10-Q for the quarter ended March 31, 2023, formatted in Inline XBRL (included as Exhibit 101).</w:t>
            </w:r>
          </w:p>
        </w:tc>
      </w:tr>
    </w:tbl>
    <w:p>
      <w:pPr>
        <w:pStyle w:val="TextBody"/>
        <w:spacing w:lineRule="auto" w:line="417"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Filed herewith.</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Furnished herewith.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0" w:after="0"/>
        <w:rPr/>
      </w:pPr>
      <w:hyperlink w:anchor="if4bb43b2d2b0478cad351ad622cc6a3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88" w:before="0" w:after="0"/>
        <w:jc w:val="center"/>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jc w:val="center"/>
        <w:rPr>
          <w:color w:val="000000"/>
        </w:rPr>
      </w:pPr>
      <w:r>
        <w:rPr>
          <w:color w:val="000000"/>
        </w:rPr>
        <w:t> </w:t>
      </w:r>
    </w:p>
    <w:tbl>
      <w:tblPr>
        <w:tblW w:w="6839" w:type="dxa"/>
        <w:jc w:val="left"/>
        <w:tblInd w:w="0" w:type="dxa"/>
        <w:tblCellMar>
          <w:top w:w="28" w:type="dxa"/>
          <w:left w:w="28" w:type="dxa"/>
          <w:bottom w:w="28" w:type="dxa"/>
          <w:right w:w="28" w:type="dxa"/>
        </w:tblCellMar>
      </w:tblPr>
      <w:tblGrid>
        <w:gridCol w:w="200"/>
        <w:gridCol w:w="177"/>
        <w:gridCol w:w="178"/>
        <w:gridCol w:w="379"/>
        <w:gridCol w:w="379"/>
        <w:gridCol w:w="381"/>
        <w:gridCol w:w="1506"/>
        <w:gridCol w:w="1506"/>
        <w:gridCol w:w="2133"/>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506" w:type="dxa"/>
            <w:tcBorders/>
            <w:shd w:fill="auto" w:val="clear"/>
            <w:vAlign w:val="center"/>
          </w:tcPr>
          <w:p>
            <w:pPr>
              <w:pStyle w:val="TableContents"/>
              <w:spacing w:before="0" w:after="283"/>
              <w:rPr>
                <w:sz w:val="4"/>
                <w:szCs w:val="4"/>
              </w:rPr>
            </w:pPr>
            <w:r>
              <w:rPr>
                <w:sz w:val="4"/>
                <w:szCs w:val="4"/>
              </w:rPr>
            </w:r>
          </w:p>
        </w:tc>
        <w:tc>
          <w:tcPr>
            <w:tcW w:w="1506" w:type="dxa"/>
            <w:tcBorders/>
            <w:shd w:fill="auto" w:val="clear"/>
            <w:vAlign w:val="center"/>
          </w:tcPr>
          <w:p>
            <w:pPr>
              <w:pStyle w:val="TableContents"/>
              <w:spacing w:before="0" w:after="283"/>
              <w:rPr>
                <w:sz w:val="4"/>
                <w:szCs w:val="4"/>
              </w:rPr>
            </w:pPr>
            <w:r>
              <w:rPr>
                <w:sz w:val="4"/>
                <w:szCs w:val="4"/>
              </w:rPr>
            </w:r>
          </w:p>
        </w:tc>
        <w:tc>
          <w:tcPr>
            <w:tcW w:w="2133"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OVERSTOCK.COM, INC.</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ADRIANNE B. LEE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Adrianne B. Lee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 and Principal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Jonathan E. Johnson III, certify that:</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Overstock.com, Inc.;</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4424" w:type="dxa"/>
        <w:jc w:val="left"/>
        <w:tblInd w:w="0" w:type="dxa"/>
        <w:tblCellMar>
          <w:top w:w="28" w:type="dxa"/>
          <w:left w:w="28" w:type="dxa"/>
          <w:bottom w:w="28" w:type="dxa"/>
          <w:right w:w="28" w:type="dxa"/>
        </w:tblCellMar>
      </w:tblPr>
      <w:tblGrid>
        <w:gridCol w:w="200"/>
        <w:gridCol w:w="177"/>
        <w:gridCol w:w="178"/>
        <w:gridCol w:w="379"/>
        <w:gridCol w:w="379"/>
        <w:gridCol w:w="381"/>
        <w:gridCol w:w="800"/>
        <w:gridCol w:w="800"/>
        <w:gridCol w:w="1130"/>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E. JOHNSON III</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E. Johnson III</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Adrianne B. Lee, certify that:</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Overstock.com, Inc.;</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6839" w:type="dxa"/>
        <w:jc w:val="left"/>
        <w:tblInd w:w="0" w:type="dxa"/>
        <w:tblCellMar>
          <w:top w:w="28" w:type="dxa"/>
          <w:left w:w="28" w:type="dxa"/>
          <w:bottom w:w="28" w:type="dxa"/>
          <w:right w:w="28" w:type="dxa"/>
        </w:tblCellMar>
      </w:tblPr>
      <w:tblGrid>
        <w:gridCol w:w="200"/>
        <w:gridCol w:w="177"/>
        <w:gridCol w:w="178"/>
        <w:gridCol w:w="379"/>
        <w:gridCol w:w="379"/>
        <w:gridCol w:w="381"/>
        <w:gridCol w:w="1505"/>
        <w:gridCol w:w="1505"/>
        <w:gridCol w:w="2135"/>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2135"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ADRIANNE B. LEE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Adrianne B. Lee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Jonathan E. Johnson III, certify, pursuant to 18 U.S.C. Section 1350, as adopted pursuant to Section 906 of the Sarbanes-Oxley Act of 2002, that the Quarterly Report of Overstock.com, Inc. on Form 10-Q for the quarter ended March 31, 2023 fully complies with the requirements of Section 13(a) or 15(d) of the Securities Exchange Act of 1934, as applicable, and that information contained in such Report fairly presents in all material respects the financial condition and results of operations of Overstock.com, Inc.</w:t>
      </w:r>
    </w:p>
    <w:p>
      <w:pPr>
        <w:pStyle w:val="TextBody"/>
        <w:spacing w:lineRule="auto" w:line="288" w:before="0" w:after="0"/>
        <w:rPr>
          <w:color w:val="000000"/>
        </w:rPr>
      </w:pPr>
      <w:r>
        <w:rPr>
          <w:color w:val="000000"/>
        </w:rPr>
        <w:t> </w:t>
      </w:r>
    </w:p>
    <w:tbl>
      <w:tblPr>
        <w:tblW w:w="4424" w:type="dxa"/>
        <w:jc w:val="left"/>
        <w:tblInd w:w="0" w:type="dxa"/>
        <w:tblCellMar>
          <w:top w:w="28" w:type="dxa"/>
          <w:left w:w="28" w:type="dxa"/>
          <w:bottom w:w="28" w:type="dxa"/>
          <w:right w:w="28" w:type="dxa"/>
        </w:tblCellMar>
      </w:tblPr>
      <w:tblGrid>
        <w:gridCol w:w="200"/>
        <w:gridCol w:w="177"/>
        <w:gridCol w:w="178"/>
        <w:gridCol w:w="379"/>
        <w:gridCol w:w="379"/>
        <w:gridCol w:w="381"/>
        <w:gridCol w:w="800"/>
        <w:gridCol w:w="800"/>
        <w:gridCol w:w="1130"/>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E. JOHNSON III</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E. Johnson III</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spacing w:before="0" w:after="0"/>
        <w:rPr/>
      </w:pPr>
      <w:r>
        <w:rPr/>
      </w:r>
    </w:p>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864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0" w:after="0"/>
        <w:ind w:left="0" w:right="0" w:firstLine="936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Adrianne B. Lee, certify, pursuant to 18 U.S.C. Section 1350, as adopted pursuant to Section 906 of the Sarbanes-Oxley Act of 2002, that the Quarterly Report of Overstock.com, Inc. on Form 10-Q for the quarter ended March 31, 2023 fully complies with the requirements of Section 13(a) or 15(d) of the Securities Exchange Act of 1934, as applicable, and that information contained in such Report fairly presents in all material respects the financial condition and results of operations of Overstock.com, Inc.</w:t>
      </w:r>
    </w:p>
    <w:p>
      <w:pPr>
        <w:pStyle w:val="TextBody"/>
        <w:spacing w:lineRule="auto" w:line="288" w:before="0" w:after="0"/>
        <w:rPr>
          <w:color w:val="000000"/>
        </w:rPr>
      </w:pPr>
      <w:r>
        <w:rPr>
          <w:color w:val="000000"/>
        </w:rPr>
        <w:t> </w:t>
      </w:r>
    </w:p>
    <w:tbl>
      <w:tblPr>
        <w:tblW w:w="6839" w:type="dxa"/>
        <w:jc w:val="left"/>
        <w:tblInd w:w="0" w:type="dxa"/>
        <w:tblCellMar>
          <w:top w:w="28" w:type="dxa"/>
          <w:left w:w="28" w:type="dxa"/>
          <w:bottom w:w="28" w:type="dxa"/>
          <w:right w:w="28" w:type="dxa"/>
        </w:tblCellMar>
      </w:tblPr>
      <w:tblGrid>
        <w:gridCol w:w="200"/>
        <w:gridCol w:w="177"/>
        <w:gridCol w:w="178"/>
        <w:gridCol w:w="379"/>
        <w:gridCol w:w="379"/>
        <w:gridCol w:w="381"/>
        <w:gridCol w:w="1505"/>
        <w:gridCol w:w="1505"/>
        <w:gridCol w:w="2135"/>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2135"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ADRIANNE B. LEE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Adrianne B. Lee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30713/000113071323000020/overstockcominckeyemploy.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14064</Words>
  <CharactersWithSpaces>92071</CharactersWithSpaces>
  <Paragraphs>1776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