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October 6, 2026</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Neighborhood Intelligence,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001-41850</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87-0634302</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433 W. Ascension Way, 3rd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Murray, Utah 84123</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(801) 947-3100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720" w:right="0" w:hanging="72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720" w:right="0" w:hanging="72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720" w:right="0" w:hanging="72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350" w:type="dxa"/>
        <w:jc w:val="left"/>
        <w:tblInd w:w="0" w:type="dxa"/>
        <w:tblLayout w:type="fixed"/>
        <w:tblCellMar>
          <w:top w:w="0" w:type="dxa"/>
          <w:left w:w="0" w:type="dxa"/>
          <w:bottom w:w="28" w:type="dxa"/>
          <w:right w:w="0" w:type="dxa"/>
        </w:tblCellMar>
      </w:tblPr>
      <w:tblGrid>
        <w:gridCol w:w="3800"/>
        <w:gridCol w:w="60"/>
        <w:gridCol w:w="860"/>
        <w:gridCol w:w="60"/>
        <w:gridCol w:w="2570"/>
      </w:tblGrid>
      <w:tr>
        <w:trPr/>
        <w:tc>
          <w:tcPr>
            <w:tcW w:w="380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80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NXH</w:t>
            </w:r>
          </w:p>
        </w:tc>
        <w:tc>
          <w:tcPr>
            <w:tcW w:w="60" w:type="dxa"/>
            <w:tcBorders/>
            <w:tcMar>
              <w:bottom w:w="0" w:type="dxa"/>
            </w:tcMar>
            <w:vAlign w:val="center"/>
          </w:tcPr>
          <w:p>
            <w:pPr>
              <w:pStyle w:val="TableContents"/>
              <w:bidi w:val="0"/>
              <w:spacing w:before="0" w:after="283"/>
              <w:jc w:val="left"/>
              <w:rPr/>
            </w:pPr>
            <w:r>
              <w:rPr/>
              <w:t> </w:t>
            </w:r>
          </w:p>
        </w:tc>
        <w:tc>
          <w:tcPr>
            <w:tcW w:w="257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80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Warrants to Purchase Shares of Common Stock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BBBYW</w:t>
            </w:r>
          </w:p>
        </w:tc>
        <w:tc>
          <w:tcPr>
            <w:tcW w:w="60" w:type="dxa"/>
            <w:tcBorders/>
            <w:tcMar>
              <w:bottom w:w="0" w:type="dxa"/>
            </w:tcMar>
            <w:vAlign w:val="center"/>
          </w:tcPr>
          <w:p>
            <w:pPr>
              <w:pStyle w:val="TableContents"/>
              <w:bidi w:val="0"/>
              <w:spacing w:before="0" w:after="283"/>
              <w:jc w:val="left"/>
              <w:rPr/>
            </w:pPr>
            <w:r>
              <w:rPr/>
              <w:t> </w:t>
            </w:r>
          </w:p>
        </w:tc>
        <w:tc>
          <w:tcPr>
            <w:tcW w:w="257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5, 2026, Neighborhood Intelligence, Inc. (the “Company”) entered into Amendment No. 1 (the “Amendment”) to the Capital on Demand</w:t>
      </w:r>
      <w:r>
        <w:rPr>
          <w:rFonts w:ascii="Times New Roman" w:hAnsi="Times New Roman"/>
          <w:color w:val="000000"/>
          <w:position w:val="7"/>
          <w:sz w:val="16"/>
          <w:sz w:val="20"/>
          <w:shd w:fill="FFFFFF" w:val="clear"/>
        </w:rPr>
        <w:t>TM</w:t>
      </w:r>
      <w:r>
        <w:rPr>
          <w:rFonts w:ascii="Times New Roman" w:hAnsi="Times New Roman"/>
          <w:color w:val="000000"/>
          <w:sz w:val="20"/>
          <w:shd w:fill="FFFFFF" w:val="clear"/>
        </w:rPr>
        <w:t xml:space="preserve"> Sales Agreement, dated August 4, 2026 (the “Original Sales Agreement”), with JonesTrading Institutional Services LLC (the “Sales Agent”), as the sales agent, reducing the maximum aggregate offering price under the Company’s at-the-market program (the “ATM Program”) from $200,000,000 to $75,000,000. The Company filed a prospectus supplement with the SEC on October 5, 2026, amending the prospectus supplement dated August 18, 2026 (as so amended, together with the accompanying base prospectus, the “ATM Prospectus Supplement”) accordingly. All terms of the Original Sales Agreement other than the maximum aggregate offering price remain unchanged and in full force and effect. Any sale of shares under the Sales Agreement, as amended, will be made pursuant to the Company’s shelf registration statement on Form S-3 (File No. 333-297978) (the “Registration Statement”), which was filed with the Securities and Exchange Commission (the “Commission”) on August 4, 2026, and declared effective on August 18, 2026, and the ATM Prospectus Supplement.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Also on October 5, 2026, the Company entered into a securities purchase agreement (the “Securities Purchase Agreement”) with certain institutional investors (the “Purchasers”), pursuant to which the Company agreed to issue and sell in a registered direct offering (the “Offering”) an aggregate of (i) 10,881,192 shares of common stock, par value $0.0001 per share (the “Common Stock”) and (ii) pre-funded warrants (the “Pre-Funded Warrants”) to purchase up to 5,241,997 shares of Common Stock (such shares issuable upon exercise of the Pre-Funded Warrants, the “Pre-Funded Warrant Shares”), together with accompanying warrants (the “Common Warrants”) to purchase up to 16,123,189 shares of Common Stock (such shares issuable upon exercise of the Common Warrants, the “Common Warrant Shares”). Each share of Common Stock and accompanying warrant was offered and sold at an offering price of $2.76, before deducting placement agent fees and offering expenses, and each Pre-Funded Warrant to purchase one share of Common Stock and accompanying warrant was offered and sold at an offering price of $2.759, which is equal to the offering price per share of Common Stock and accompanying warrant less the $0.001 exercise price of each Pre-Funded Warrant, before deducting placement agent fees and offering expenses.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Each Pre-Funded Warrant has an exercise price of $0.001 per share of Common Stock, subject to certain adjustments. The Pre-Funded Warrants are exercisable at any time after the date of issuance of such Pre-Funded Warrants, subject to certain ownership limitations.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Each Common Warrant is exercisable beginning on the six (6) month anniversary of the date of issuance, subject to certain ownership limitations, and will expire five (5) years from the initial exercise date. The exercise price of the Common Warrants is $3.45 per share of Common Stock.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Offering closed on October 6, 2026. The net proceeds from the Offering are approximately $42.6 million, after deducting placement agent fees and other offering expenses. The Company intends to use the net proceeds from the Offering to accelerate merger synergies and build inventory. Any remaining proceeds will be used for working capital and general corporate purposes.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Offering, the Company agreed to pay Rodman &amp; Renshaw LLC (the “Placement Agent”) (i) a cash fee equal to 5.75% of the aggregate gross proceeds of the Offering other than proceeds received from the sale of shares of Common Stock pursuant to the President’s List, including Executive Chairman and CEO, Marcus Lemonis, (ii) $65,000 for legal fees, and (iii) $15,950 for the clearing expenses of the Placement Agent. Additionally, the Company agreed to issue placement agent warrants (the “Placement Agent Warrants”) to purchase up to 494,565 shares of Common Stock, equal to 3.0% of the aggregate number of shares placed, exercisable beginning on the six (6) month anniversary of the date of issuance, expiring five (5) years from the commencement of sales in the Offering and with an exercise price equal to $3.45 per share.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also agreed to pay the Placement Agent a cash fee of 5.75% of the gross exercise price paid in cash with respect to the exercise of any Common Warrants issued to the investor in the Offering other than the President’s List, which for the avoidance of doubt, includes the gross exercise price received by the Company upon exercise of the Common Warrants, as the case may be.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shares of Common Stock, the Pre-Funded Warrants, the Common Warrants and the Placement Agent Warrants were offered by the Company pursuant to the Registration Statement and a prospectus supplement related to the Offering and the accompanying prospectus, filed with the Commission on October 6,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Securities Purchase Agreement, the Company agreed to be subject to a lock-up for a period of ninety (90) days following the date of closing of the Offering. During the applicable lock-up period, the Company may not issue, enter into any agreement to issue or announce the issuance or proposed issuance of any Common Stock or any securities convertible or exercisable or exchangeable for, Common Stock, subject to certain exceptions. The Company also agreed, subject to certain exceptions, until six (6) months following the date of closing of the Offering, not to (i) issue or sell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Company’s business or the market for the Common Stock, or (ii) enter into, or effect a transaction under, any agreement, including, but not limited to, an equity line of credit or an “at-the-market” facility, subject certain exceptions.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Securities Purchase Agreement contains customary representations and warranties, agreements and obligations, conditions to closing and termination provisions. In connection with the Offering, the Company’s directors and executive officers also entered into lock-up agreements with the Company, pursuant to which such directors and officers will not be permitted to, for a period of 90 days after the closing, offer, sell, contract to sell, hypothecate, pledge or otherwise dispose of (or enter into any transaction which is designed to, or might reasonably be expected to, result in the disposition at any time, including in the future (whether by actual disposition or effective economic disposition due to cash settlement or otherwise) by such directors and officers or their affiliates), securities of the Company, subject to certain limited exceptions.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descriptions of the Amendment, the Common Warrants, the Pre-Funded Warrants and the Securities Purchase Agreement do not purport to be complete and are qualified in their entirety by reference to the full text of the Amendment, the form of Common Warrant, the form of Pre-Funded Warrant, the form of Placement Agent Warrant and the form of Securities Purchase Agreement, which are attached as Exhibits 1.1, 4.1, 4.2, 4.3 and 10.1, respectively, to this Current Report on Form 8-K and incorporated by reference herein.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5, 2026, Marcus Lemonis, Executive Chairman and CEO of the Company, entered into a Stock Purchase Agreement with the Company pursuant to which Mr. Lemonis agreed to purchase 362,319 shares of Common Stock from the Company at a price of $2.76 per share, representing the Company’s closing stock price on October 2, 2026. The stock purchase closed on October 6,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 copy of the opinion of Latham &amp; Watkins LLP relating to the issuance of the shares of Common Stock, the Prefunded Warrants, the Common Warrants and the Placement Agent Warrants in the Offering, as well as the shares of Common Stock issued to Mr. Lemonis as described above, is filed as Exhibit 5.1 to this Current Report on Form 8-K.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sz w:val="20"/>
        </w:rPr>
      </w:pPr>
      <w:r>
        <w:rPr>
          <w:sz w:val="20"/>
        </w:rPr>
      </w:r>
    </w:p>
    <w:tbl>
      <w:tblPr>
        <w:tblW w:w="7495" w:type="dxa"/>
        <w:jc w:val="left"/>
        <w:tblInd w:w="0" w:type="dxa"/>
        <w:tblLayout w:type="fixed"/>
        <w:tblCellMar>
          <w:top w:w="0" w:type="dxa"/>
          <w:left w:w="0" w:type="dxa"/>
          <w:bottom w:w="0" w:type="dxa"/>
          <w:right w:w="0" w:type="dxa"/>
        </w:tblCellMar>
      </w:tblPr>
      <w:tblGrid>
        <w:gridCol w:w="980"/>
        <w:gridCol w:w="6515"/>
      </w:tblGrid>
      <w:tr>
        <w:trPr/>
        <w:tc>
          <w:tcPr>
            <w:tcW w:w="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65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98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pPr>
            <w:hyperlink w:anchor="ef20083313_ex1-1.htm">
              <w:r>
                <w:rPr>
                  <w:rStyle w:val="InternetLink"/>
                  <w:rFonts w:ascii="Times New Roman" w:hAnsi="Times New Roman"/>
                  <w:color w:val="000000"/>
                  <w:sz w:val="20"/>
                </w:rPr>
                <w:t>1.1</w:t>
              </w:r>
            </w:hyperlink>
          </w:p>
        </w:tc>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Amendment No. 1 to Capital on Demand</w:t>
            </w:r>
            <w:r>
              <w:rPr>
                <w:rFonts w:ascii="Times New Roman" w:hAnsi="Times New Roman"/>
                <w:position w:val="7"/>
                <w:sz w:val="16"/>
                <w:sz w:val="20"/>
              </w:rPr>
              <w:t>TM</w:t>
            </w:r>
            <w:r>
              <w:rPr>
                <w:rFonts w:ascii="Times New Roman" w:hAnsi="Times New Roman"/>
                <w:sz w:val="20"/>
              </w:rPr>
              <w:t xml:space="preserve"> Sales Agreement</w:t>
            </w:r>
          </w:p>
        </w:tc>
      </w:tr>
      <w:tr>
        <w:trPr/>
        <w:tc>
          <w:tcPr>
            <w:tcW w:w="980" w:type="dxa"/>
            <w:tcBorders/>
            <w:vAlign w:val="center"/>
          </w:tcPr>
          <w:p>
            <w:pPr>
              <w:pStyle w:val="TableContents"/>
              <w:bidi w:val="0"/>
              <w:spacing w:before="0" w:after="0"/>
              <w:jc w:val="left"/>
              <w:rPr/>
            </w:pPr>
            <w:hyperlink w:anchor="ef20083313_ex4-1.htm">
              <w:r>
                <w:rPr>
                  <w:rStyle w:val="InternetLink"/>
                  <w:rFonts w:ascii="Times New Roman" w:hAnsi="Times New Roman"/>
                  <w:color w:val="000000"/>
                  <w:sz w:val="20"/>
                </w:rPr>
                <w:t>4.1</w:t>
              </w:r>
            </w:hyperlink>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Common Warrant.</w:t>
            </w:r>
          </w:p>
        </w:tc>
      </w:tr>
      <w:tr>
        <w:trPr/>
        <w:tc>
          <w:tcPr>
            <w:tcW w:w="980" w:type="dxa"/>
            <w:tcBorders/>
            <w:shd w:fill="CCEEFF" w:val="clear"/>
            <w:vAlign w:val="center"/>
          </w:tcPr>
          <w:p>
            <w:pPr>
              <w:pStyle w:val="TableContents"/>
              <w:bidi w:val="0"/>
              <w:spacing w:before="0" w:after="0"/>
              <w:jc w:val="left"/>
              <w:rPr/>
            </w:pPr>
            <w:hyperlink w:anchor="ef20083313_ex4-2.htm">
              <w:r>
                <w:rPr>
                  <w:rStyle w:val="InternetLink"/>
                  <w:rFonts w:ascii="Times New Roman" w:hAnsi="Times New Roman"/>
                  <w:color w:val="000000"/>
                  <w:sz w:val="20"/>
                </w:rPr>
                <w:t>4.2</w:t>
              </w:r>
            </w:hyperlink>
          </w:p>
        </w:tc>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Form of Pre-Funded Warrant.</w:t>
            </w:r>
          </w:p>
        </w:tc>
      </w:tr>
      <w:tr>
        <w:trPr/>
        <w:tc>
          <w:tcPr>
            <w:tcW w:w="980" w:type="dxa"/>
            <w:tcBorders/>
            <w:vAlign w:val="center"/>
          </w:tcPr>
          <w:p>
            <w:pPr>
              <w:pStyle w:val="TableContents"/>
              <w:bidi w:val="0"/>
              <w:spacing w:before="0" w:after="0"/>
              <w:jc w:val="left"/>
              <w:rPr/>
            </w:pPr>
            <w:hyperlink w:anchor="ef20083313_ex4-3.htm">
              <w:r>
                <w:rPr>
                  <w:rStyle w:val="InternetLink"/>
                  <w:rFonts w:ascii="Times New Roman" w:hAnsi="Times New Roman"/>
                  <w:color w:val="000000"/>
                  <w:sz w:val="20"/>
                </w:rPr>
                <w:t>4.3</w:t>
              </w:r>
            </w:hyperlink>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Placement Agent Warrant</w:t>
            </w:r>
          </w:p>
        </w:tc>
      </w:tr>
      <w:tr>
        <w:trPr/>
        <w:tc>
          <w:tcPr>
            <w:tcW w:w="980" w:type="dxa"/>
            <w:tcBorders/>
            <w:shd w:fill="CCEEFF" w:val="clear"/>
            <w:vAlign w:val="center"/>
          </w:tcPr>
          <w:p>
            <w:pPr>
              <w:pStyle w:val="TableContents"/>
              <w:bidi w:val="0"/>
              <w:spacing w:before="0" w:after="0"/>
              <w:jc w:val="left"/>
              <w:rPr/>
            </w:pPr>
            <w:hyperlink w:anchor="ef20083313_ex5-1.htm">
              <w:r>
                <w:rPr>
                  <w:rStyle w:val="InternetLink"/>
                  <w:rFonts w:ascii="Times New Roman" w:hAnsi="Times New Roman"/>
                  <w:color w:val="000000"/>
                  <w:sz w:val="20"/>
                </w:rPr>
                <w:t>5.1</w:t>
              </w:r>
            </w:hyperlink>
          </w:p>
        </w:tc>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Opinion of Latham &amp; Watkins LLP.</w:t>
            </w:r>
          </w:p>
        </w:tc>
      </w:tr>
      <w:tr>
        <w:trPr/>
        <w:tc>
          <w:tcPr>
            <w:tcW w:w="980" w:type="dxa"/>
            <w:tcBorders/>
            <w:vAlign w:val="center"/>
          </w:tcPr>
          <w:p>
            <w:pPr>
              <w:pStyle w:val="TableContents"/>
              <w:bidi w:val="0"/>
              <w:spacing w:before="0" w:after="0"/>
              <w:jc w:val="left"/>
              <w:rPr/>
            </w:pPr>
            <w:hyperlink w:anchor="ef20083313_ex10-1.htm">
              <w:r>
                <w:rPr>
                  <w:rStyle w:val="InternetLink"/>
                  <w:rFonts w:ascii="Times New Roman" w:hAnsi="Times New Roman"/>
                  <w:color w:val="000000"/>
                  <w:sz w:val="20"/>
                </w:rPr>
                <w:t>10.1</w:t>
              </w:r>
            </w:hyperlink>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Securities Purchase Agreement.</w:t>
            </w:r>
          </w:p>
        </w:tc>
      </w:tr>
      <w:tr>
        <w:trPr/>
        <w:tc>
          <w:tcPr>
            <w:tcW w:w="980" w:type="dxa"/>
            <w:tcBorders/>
            <w:shd w:fill="CCEEFF" w:val="clear"/>
            <w:vAlign w:val="center"/>
          </w:tcPr>
          <w:p>
            <w:pPr>
              <w:pStyle w:val="TableContents"/>
              <w:bidi w:val="0"/>
              <w:spacing w:before="0" w:after="0"/>
              <w:jc w:val="left"/>
              <w:rPr/>
            </w:pPr>
            <w:hyperlink w:anchor="ef20083313_ex5-1.htm">
              <w:r>
                <w:rPr>
                  <w:rStyle w:val="InternetLink"/>
                  <w:rFonts w:ascii="Times New Roman" w:hAnsi="Times New Roman"/>
                  <w:color w:val="000000"/>
                  <w:sz w:val="20"/>
                </w:rPr>
                <w:t>23.1</w:t>
              </w:r>
            </w:hyperlink>
          </w:p>
        </w:tc>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Consent of Latham &amp; Watkins LLP (included in Exhibit 5.1).</w:t>
            </w:r>
          </w:p>
        </w:tc>
      </w:tr>
      <w:tr>
        <w:trPr/>
        <w:tc>
          <w:tcPr>
            <w:tcW w:w="9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5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ind w:left="0" w:right="0" w:firstLine="1102"/>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244" w:type="dxa"/>
        <w:jc w:val="left"/>
        <w:tblInd w:w="0" w:type="dxa"/>
        <w:tblLayout w:type="fixed"/>
        <w:tblCellMar>
          <w:top w:w="0" w:type="dxa"/>
          <w:left w:w="0" w:type="dxa"/>
          <w:bottom w:w="0" w:type="dxa"/>
          <w:right w:w="0" w:type="dxa"/>
        </w:tblCellMar>
      </w:tblPr>
      <w:tblGrid>
        <w:gridCol w:w="1805"/>
        <w:gridCol w:w="487"/>
        <w:gridCol w:w="2952"/>
      </w:tblGrid>
      <w:tr>
        <w:trPr/>
        <w:tc>
          <w:tcPr>
            <w:tcW w:w="180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NEIGHBORHOOD INTELLIGENCE, INC.</w:t>
            </w:r>
          </w:p>
        </w:tc>
      </w:tr>
      <w:tr>
        <w:trPr/>
        <w:tc>
          <w:tcPr>
            <w:tcW w:w="180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6, 2026</w:t>
            </w:r>
          </w:p>
        </w:tc>
        <w:tc>
          <w:tcPr>
            <w:tcW w:w="48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952"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Marcus Lemonis</w:t>
            </w:r>
          </w:p>
        </w:tc>
      </w:tr>
      <w:tr>
        <w:trPr/>
        <w:tc>
          <w:tcPr>
            <w:tcW w:w="1805"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295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Marcus Lemonis</w:t>
            </w:r>
          </w:p>
        </w:tc>
      </w:tr>
      <w:tr>
        <w:trPr/>
        <w:tc>
          <w:tcPr>
            <w:tcW w:w="1805" w:type="dxa"/>
            <w:tcBorders/>
            <w:vAlign w:val="center"/>
          </w:tcPr>
          <w:p>
            <w:pPr>
              <w:pStyle w:val="TableContents"/>
              <w:bidi w:val="0"/>
              <w:spacing w:before="0" w:after="283"/>
              <w:jc w:val="left"/>
              <w:rPr/>
            </w:pPr>
            <w:r>
              <w:rPr/>
              <w:t> </w:t>
            </w:r>
          </w:p>
        </w:tc>
        <w:tc>
          <w:tcPr>
            <w:tcW w:w="487" w:type="dxa"/>
            <w:tcBorders/>
            <w:vAlign w:val="center"/>
          </w:tcPr>
          <w:p>
            <w:pPr>
              <w:pStyle w:val="TableContents"/>
              <w:bidi w:val="0"/>
              <w:spacing w:before="0" w:after="283"/>
              <w:jc w:val="left"/>
              <w:rPr/>
            </w:pPr>
            <w:r>
              <w:rPr/>
              <w:t> </w:t>
            </w:r>
          </w:p>
        </w:tc>
        <w:tc>
          <w:tcPr>
            <w:tcW w:w="295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83313_ex1-1.htm"/>
      <w:bookmarkStart w:id="1" w:name="ksef20083313_ex11"/>
      <w:bookmarkStart w:id="2" w:name="ef20083313_ex1-1.htm"/>
      <w:bookmarkStart w:id="3" w:name="ksef20083313_ex11"/>
      <w:bookmarkEnd w:id="2"/>
      <w:bookmarkEnd w:id="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1.1</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i/>
          <w:color w:val="000000"/>
          <w:sz w:val="20"/>
        </w:rPr>
      </w:pPr>
      <w:r>
        <w:rPr>
          <w:rFonts w:ascii="Times New Roman" w:hAnsi="Times New Roman"/>
          <w:i/>
          <w:color w:val="000000"/>
          <w:sz w:val="20"/>
        </w:rPr>
        <w:t>Execution Version</w:t>
      </w:r>
    </w:p>
    <w:p>
      <w:pPr>
        <w:pStyle w:val="TextBody"/>
        <w:bidi w:val="0"/>
        <w:spacing w:before="0" w:after="0"/>
        <w:jc w:val="left"/>
        <w:rPr>
          <w:sz w:val="20"/>
        </w:rPr>
      </w:pPr>
      <w:r>
        <w:rPr>
          <w:sz w:val="20"/>
        </w:rPr>
      </w:r>
      <w:bookmarkStart w:id="4" w:name="z575d6fd7ee754e7ca4fae9954d2538f1"/>
      <w:bookmarkStart w:id="5" w:name="z575d6fd7ee754e7ca4fae9954d2538f1"/>
      <w:bookmarkEnd w:id="5"/>
    </w:p>
    <w:tbl>
      <w:tblPr>
        <w:tblW w:w="6740" w:type="dxa"/>
        <w:jc w:val="left"/>
        <w:tblInd w:w="0" w:type="dxa"/>
        <w:tblLayout w:type="fixed"/>
        <w:tblCellMar>
          <w:top w:w="0" w:type="dxa"/>
          <w:left w:w="0" w:type="dxa"/>
          <w:bottom w:w="0" w:type="dxa"/>
          <w:right w:w="0" w:type="dxa"/>
        </w:tblCellMar>
      </w:tblPr>
      <w:tblGrid>
        <w:gridCol w:w="60"/>
        <w:gridCol w:w="6620"/>
        <w:gridCol w:w="60"/>
      </w:tblGrid>
      <w:tr>
        <w:trPr/>
        <w:tc>
          <w:tcPr>
            <w:tcW w:w="60" w:type="dxa"/>
            <w:tcBorders/>
            <w:vAlign w:val="center"/>
          </w:tcPr>
          <w:p>
            <w:pPr>
              <w:pStyle w:val="TableContents"/>
              <w:bidi w:val="0"/>
              <w:spacing w:before="0" w:after="0"/>
              <w:jc w:val="left"/>
              <w:rPr/>
            </w:pPr>
            <w:r>
              <w:rPr/>
              <w:t> </w:t>
            </w:r>
          </w:p>
        </w:tc>
        <w:tc>
          <w:tcPr>
            <w:tcW w:w="6620" w:type="dxa"/>
            <w:tcBorders>
              <w:bottom w:val="single" w:sz="12" w:space="0" w:color="000000"/>
            </w:tcBorders>
            <w:tcMar>
              <w:bottom w:w="28" w:type="dxa"/>
            </w:tcMar>
            <w:vAlign w:val="center"/>
          </w:tcPr>
          <w:p>
            <w:pPr>
              <w:pStyle w:val="TableContents"/>
              <w:bidi w:val="0"/>
              <w:spacing w:lineRule="auto" w:line="240" w:before="0" w:after="0"/>
              <w:jc w:val="center"/>
              <w:rPr>
                <w:rFonts w:ascii="Times New Roman" w:hAnsi="Times New Roman"/>
                <w:b/>
                <w:sz w:val="20"/>
              </w:rPr>
            </w:pPr>
            <w:r>
              <w:rPr>
                <w:rFonts w:ascii="Times New Roman" w:hAnsi="Times New Roman"/>
                <w:b/>
                <w:sz w:val="20"/>
              </w:rPr>
              <w:t>AMENDMENT NO. 1 TO CAPITAL ON DEMANDTM SALES AGREEMENT</w:t>
            </w:r>
          </w:p>
        </w:tc>
        <w:tc>
          <w:tcPr>
            <w:tcW w:w="60" w:type="dxa"/>
            <w:tcBorders/>
            <w:vAlign w:val="center"/>
          </w:tcPr>
          <w:p>
            <w:pPr>
              <w:pStyle w:val="TableContents"/>
              <w:bidi w:val="0"/>
              <w:spacing w:before="0" w:after="0"/>
              <w:jc w:val="left"/>
              <w:rPr/>
            </w:pPr>
            <w:r>
              <w:rPr/>
              <w:t> </w:t>
            </w:r>
          </w:p>
        </w:tc>
      </w:tr>
    </w:tbl>
    <w:p>
      <w:pPr>
        <w:pStyle w:val="TextBody"/>
        <w:bidi w:val="0"/>
        <w:spacing w:before="0" w:after="0"/>
        <w:jc w:val="center"/>
        <w:rPr>
          <w:rFonts w:ascii="Times New Roman" w:hAnsi="Times New Roman"/>
          <w:b/>
          <w:sz w:val="20"/>
          <w:u w:val="single"/>
        </w:rPr>
      </w:pPr>
      <w:r>
        <w:rPr>
          <w:rFonts w:ascii="Times New Roman" w:hAnsi="Times New Roman"/>
          <w:b/>
          <w:sz w:val="20"/>
          <w:u w:val="single"/>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October 5, 2026</w:t>
      </w:r>
    </w:p>
    <w:p>
      <w:pPr>
        <w:pStyle w:val="TextBody"/>
        <w:bidi w:val="0"/>
        <w:spacing w:before="0" w:after="0"/>
        <w:jc w:val="left"/>
        <w:rPr>
          <w:color w:val="000000"/>
        </w:rPr>
      </w:pPr>
      <w:r>
        <w:rPr>
          <w:color w:val="000000"/>
        </w:rPr>
        <w:t>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JonesTrading Institutional Services LLC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325 Hudson Street, 6th Floor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New York, New York 10013</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sz w:val="20"/>
        </w:rPr>
      </w:pPr>
      <w:r>
        <w:rPr>
          <w:sz w:val="20"/>
        </w:rPr>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Neighborhood Intelligence, Inc. (formerly Bed Bath and Beyond, Inc.), a Delaware corporation (the “</w:t>
      </w:r>
      <w:r>
        <w:rPr>
          <w:rFonts w:ascii="Times New Roman" w:hAnsi="Times New Roman"/>
          <w:color w:val="000000"/>
          <w:sz w:val="20"/>
          <w:u w:val="single"/>
        </w:rPr>
        <w:t>Company</w:t>
      </w:r>
      <w:r>
        <w:rPr>
          <w:rFonts w:ascii="Times New Roman" w:hAnsi="Times New Roman"/>
          <w:color w:val="000000"/>
          <w:sz w:val="20"/>
        </w:rPr>
        <w:t>”) and JonesTrading Institutional Services LLC (the “</w:t>
      </w:r>
      <w:r>
        <w:rPr>
          <w:rFonts w:ascii="Times New Roman" w:hAnsi="Times New Roman"/>
          <w:color w:val="000000"/>
          <w:sz w:val="20"/>
          <w:u w:val="single"/>
        </w:rPr>
        <w:t>Agent</w:t>
      </w:r>
      <w:r>
        <w:rPr>
          <w:rFonts w:ascii="Times New Roman" w:hAnsi="Times New Roman"/>
          <w:color w:val="000000"/>
          <w:sz w:val="20"/>
        </w:rPr>
        <w:t>”), are parties to that certain Capital on DemandTM Sales Agreement dated August 4, 2026 (the “</w:t>
      </w:r>
      <w:r>
        <w:rPr>
          <w:rFonts w:ascii="Times New Roman" w:hAnsi="Times New Roman"/>
          <w:color w:val="000000"/>
          <w:sz w:val="20"/>
          <w:u w:val="single"/>
        </w:rPr>
        <w:t>Original Agreement</w:t>
      </w:r>
      <w:r>
        <w:rPr>
          <w:rFonts w:ascii="Times New Roman" w:hAnsi="Times New Roman"/>
          <w:color w:val="000000"/>
          <w:sz w:val="20"/>
        </w:rPr>
        <w:t>”). All capitalized terms not defined herein shall have the meanings ascribed to them in the Original Agreement. The Company and Agent desire to amend the Original Agreement as set forth in this Amendment No. 1 thereto (this “</w:t>
      </w:r>
      <w:r>
        <w:rPr>
          <w:rFonts w:ascii="Times New Roman" w:hAnsi="Times New Roman"/>
          <w:color w:val="000000"/>
          <w:sz w:val="20"/>
          <w:u w:val="single"/>
        </w:rPr>
        <w:t>Amendment</w:t>
      </w:r>
      <w:r>
        <w:rPr>
          <w:rFonts w:ascii="Times New Roman" w:hAnsi="Times New Roman"/>
          <w:color w:val="000000"/>
          <w:sz w:val="20"/>
        </w:rPr>
        <w:t>”) as follows: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rPr>
        <w:t>1.</w:t>
      </w:r>
      <w:r>
        <w:rPr>
          <w:rFonts w:ascii="Times New Roman;Times;serif" w:hAnsi="Times New Roman;Times;serif"/>
          <w:color w:val="000000"/>
          <w:sz w:val="20"/>
        </w:rPr>
        <w:t>          </w:t>
      </w:r>
      <w:r>
        <w:rPr>
          <w:rFonts w:ascii="Times New Roman" w:hAnsi="Times New Roman"/>
          <w:color w:val="000000"/>
          <w:sz w:val="20"/>
        </w:rPr>
        <w:t>The first sentence of Section 1 of the Original Agreement is deleted in its entirety and replaced as follows:</w:t>
      </w:r>
    </w:p>
    <w:p>
      <w:pPr>
        <w:pStyle w:val="TextBody"/>
        <w:bidi w:val="0"/>
        <w:spacing w:before="0" w:after="0"/>
        <w:jc w:val="left"/>
        <w:rPr>
          <w:sz w:val="20"/>
        </w:rPr>
      </w:pPr>
      <w:r>
        <w:rPr>
          <w:sz w:val="20"/>
        </w:rPr>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rPr>
        <w:t>The Company agrees that, from time to time during the term of this Agreement, on the terms and subject to the conditions set forth herein, it may issue and sell through the Agent, shares (the “</w:t>
      </w:r>
      <w:r>
        <w:rPr>
          <w:rFonts w:ascii="Times New Roman" w:hAnsi="Times New Roman"/>
          <w:color w:val="000000"/>
          <w:sz w:val="20"/>
          <w:u w:val="single"/>
        </w:rPr>
        <w:t>Placement Shares</w:t>
      </w:r>
      <w:r>
        <w:rPr>
          <w:rFonts w:ascii="Times New Roman" w:hAnsi="Times New Roman"/>
          <w:color w:val="000000"/>
          <w:sz w:val="20"/>
        </w:rPr>
        <w:t>”) of common stock of the Company, $0.0001 par value per share (the “</w:t>
      </w:r>
      <w:r>
        <w:rPr>
          <w:rFonts w:ascii="Times New Roman" w:hAnsi="Times New Roman"/>
          <w:color w:val="000000"/>
          <w:sz w:val="20"/>
          <w:u w:val="single"/>
        </w:rPr>
        <w:t>Common Stock</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that in no event shall the Company issue or sell, through or to Agent, Placement Shares having an aggregate offering price that exceeds (a) the dollar amount of shares of Common Stock registered on the Registration Statement (as defined below), (b) the number of authorized but unissued shares of Common Stock, (c) the dollar amount of shares of Common Stock permitted to be sold under Form S-3, or (d) $75,000,000 (the least of (a), (b), (c) and (d), the “</w:t>
      </w:r>
      <w:r>
        <w:rPr>
          <w:rFonts w:ascii="Times New Roman" w:hAnsi="Times New Roman"/>
          <w:b/>
          <w:color w:val="000000"/>
          <w:sz w:val="20"/>
        </w:rPr>
        <w:t>Maximum Amount</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rPr>
        <w:t>2.</w:t>
      </w:r>
      <w:r>
        <w:rPr>
          <w:rFonts w:ascii="Times New Roman;Times;serif" w:hAnsi="Times New Roman;Times;serif"/>
          <w:color w:val="000000"/>
          <w:sz w:val="20"/>
        </w:rPr>
        <w:t xml:space="preserve">         </w:t>
      </w:r>
      <w:r>
        <w:rPr>
          <w:rFonts w:ascii="Times New Roman" w:hAnsi="Times New Roman"/>
          <w:color w:val="000000"/>
          <w:sz w:val="20"/>
        </w:rPr>
        <w:t>Sections 14 and 15 of the Original Agreement are hereby incorporated into this Amendment.  Except as specifically set forth herein, all other provisions of the Original Agreement shall remain in full force and effect.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rPr>
        <w:t>3.</w:t>
      </w:r>
      <w:r>
        <w:rPr>
          <w:rFonts w:ascii="Times New Roman;Times;serif" w:hAnsi="Times New Roman;Times;serif"/>
          <w:color w:val="000000"/>
          <w:sz w:val="20"/>
        </w:rPr>
        <w:t xml:space="preserve">       </w:t>
      </w:r>
      <w:r>
        <w:rPr>
          <w:rFonts w:ascii="Times New Roman" w:hAnsi="Times New Roman"/>
          <w:color w:val="000000"/>
          <w:sz w:val="20"/>
        </w:rPr>
        <w:t xml:space="preserve">This Amendment together with the Original Agreement (including all exhibits attached hereto) constitutes the entire agreement and supersedes all other prior and contemporaneous agreements and undertakings, both written and oral, among the parties hereto with regard to the subject matter hereof. Neither this Amendment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Amendment. All references in the Original Agreement to the “Agreement” shall mean the Original Agreement as amended by this Amendment; </w:t>
      </w:r>
      <w:r>
        <w:rPr>
          <w:rFonts w:ascii="Times New Roman" w:hAnsi="Times New Roman"/>
          <w:i/>
          <w:color w:val="000000"/>
          <w:sz w:val="20"/>
        </w:rPr>
        <w:t>provided, however</w:t>
      </w:r>
      <w:r>
        <w:rPr>
          <w:rFonts w:ascii="Times New Roman" w:hAnsi="Times New Roman"/>
          <w:color w:val="000000"/>
          <w:sz w:val="20"/>
        </w:rPr>
        <w:t>, that all references to “date of this Agreement” in the Original Agreement shall continue to refer to the date of the Original Agreement.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rPr>
        <w:t>4.</w:t>
      </w:r>
      <w:r>
        <w:rPr>
          <w:rFonts w:ascii="Times New Roman;Times;serif" w:hAnsi="Times New Roman;Times;serif"/>
          <w:color w:val="000000"/>
          <w:sz w:val="20"/>
        </w:rPr>
        <w:t>          </w:t>
      </w:r>
      <w:r>
        <w:rPr>
          <w:rFonts w:ascii="Times New Roman" w:hAnsi="Times New Roman"/>
          <w:color w:val="000000"/>
          <w:sz w:val="20"/>
        </w:rPr>
        <w:t>This Amendment may be executed in two or more counterparts, each of which shall be deemed an original, but all of which together shall constitute one and the same instrument. Delivery of an executed amendment by one party to the other may be made by facsimile transmission or electronic transmission (e.g., PDF).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[Remainder of Page Intentionally Blank]</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foregoing correctly sets forth the understanding between the Company and the Agent, please so indicate in the space provided below for that purpose, whereupon this Amendment shall constitute a binding amendment to the Original Agreement between the Company and the Agent.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91662f358b6042bfaa8384e69ce575fb"/>
      <w:bookmarkStart w:id="7" w:name="z91662f358b6042bfaa8384e69ce575fb"/>
      <w:bookmarkEnd w:id="7"/>
    </w:p>
    <w:tbl>
      <w:tblPr>
        <w:tblW w:w="4632" w:type="dxa"/>
        <w:jc w:val="left"/>
        <w:tblInd w:w="0" w:type="dxa"/>
        <w:tblLayout w:type="fixed"/>
        <w:tblCellMar>
          <w:top w:w="0" w:type="dxa"/>
          <w:left w:w="0" w:type="dxa"/>
          <w:bottom w:w="0" w:type="dxa"/>
          <w:right w:w="0" w:type="dxa"/>
        </w:tblCellMar>
      </w:tblPr>
      <w:tblGrid>
        <w:gridCol w:w="23"/>
        <w:gridCol w:w="1311"/>
        <w:gridCol w:w="3298"/>
      </w:tblGrid>
      <w:tr>
        <w:trPr/>
        <w:tc>
          <w:tcPr>
            <w:tcW w:w="23" w:type="dxa"/>
            <w:tcBorders/>
            <w:vAlign w:val="center"/>
          </w:tcPr>
          <w:p>
            <w:pPr>
              <w:pStyle w:val="TableContents"/>
              <w:bidi w:val="0"/>
              <w:spacing w:before="0" w:after="283"/>
              <w:jc w:val="left"/>
              <w:rPr/>
            </w:pPr>
            <w:r>
              <w:rPr/>
            </w:r>
          </w:p>
        </w:tc>
        <w:tc>
          <w:tcPr>
            <w:tcW w:w="460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c>
          <w:tcPr>
            <w:tcW w:w="23" w:type="dxa"/>
            <w:tcBorders/>
            <w:vAlign w:val="center"/>
          </w:tcPr>
          <w:p>
            <w:pPr>
              <w:pStyle w:val="TableContents"/>
              <w:bidi w:val="0"/>
              <w:spacing w:before="0" w:after="283"/>
              <w:jc w:val="left"/>
              <w:rPr/>
            </w:pPr>
            <w:r>
              <w:rPr/>
            </w:r>
          </w:p>
        </w:tc>
        <w:tc>
          <w:tcPr>
            <w:tcW w:w="4609"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460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JONESTRADING INSTITUTIONAL SERVICES LLC</w:t>
            </w:r>
          </w:p>
        </w:tc>
      </w:tr>
      <w:tr>
        <w:trPr/>
        <w:tc>
          <w:tcPr>
            <w:tcW w:w="23" w:type="dxa"/>
            <w:tcBorders/>
            <w:vAlign w:val="center"/>
          </w:tcPr>
          <w:p>
            <w:pPr>
              <w:pStyle w:val="TableContents"/>
              <w:bidi w:val="0"/>
              <w:spacing w:before="0" w:after="283"/>
              <w:jc w:val="left"/>
              <w:rPr/>
            </w:pPr>
            <w:r>
              <w:rPr/>
            </w:r>
          </w:p>
        </w:tc>
        <w:tc>
          <w:tcPr>
            <w:tcW w:w="4609"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3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298"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3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32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Burke Cook</w:t>
            </w:r>
          </w:p>
        </w:tc>
      </w:tr>
      <w:tr>
        <w:trPr/>
        <w:tc>
          <w:tcPr>
            <w:tcW w:w="23" w:type="dxa"/>
            <w:tcBorders/>
            <w:vAlign w:val="center"/>
          </w:tcPr>
          <w:p>
            <w:pPr>
              <w:pStyle w:val="TableContents"/>
              <w:bidi w:val="0"/>
              <w:spacing w:before="0" w:after="283"/>
              <w:jc w:val="left"/>
              <w:rPr/>
            </w:pPr>
            <w:r>
              <w:rPr/>
            </w:r>
          </w:p>
        </w:tc>
        <w:tc>
          <w:tcPr>
            <w:tcW w:w="13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32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Counsel</w:t>
            </w:r>
          </w:p>
        </w:tc>
      </w:tr>
    </w:tbl>
    <w:p>
      <w:pPr>
        <w:pStyle w:val="TextBody"/>
        <w:bidi w:val="0"/>
        <w:spacing w:before="0" w:after="0"/>
        <w:jc w:val="left"/>
        <w:rPr>
          <w:sz w:val="20"/>
        </w:rPr>
      </w:pPr>
      <w:r>
        <w:rPr>
          <w:sz w:val="20"/>
        </w:rPr>
      </w:r>
    </w:p>
    <w:p>
      <w:pPr>
        <w:pStyle w:val="TextBody"/>
        <w:bidi w:val="0"/>
        <w:spacing w:lineRule="auto" w:line="240" w:before="0" w:after="0"/>
        <w:jc w:val="center"/>
        <w:rPr>
          <w:rFonts w:ascii="Times New Roman" w:hAnsi="Times New Roman"/>
          <w:i/>
          <w:color w:val="000000"/>
          <w:sz w:val="20"/>
        </w:rPr>
      </w:pPr>
      <w:r>
        <w:rPr>
          <w:rFonts w:ascii="Times New Roman" w:hAnsi="Times New Roman"/>
          <w:i/>
          <w:color w:val="000000"/>
          <w:sz w:val="20"/>
        </w:rPr>
        <w:t>[Signature Page to Amendment No. 1 to Capital on Demand TM Sales Agreement]</w:t>
      </w:r>
    </w:p>
    <w:p>
      <w:pPr>
        <w:pStyle w:val="TextBody"/>
        <w:bidi w:val="0"/>
        <w:spacing w:before="0" w:after="0"/>
        <w:jc w:val="center"/>
        <w:rPr>
          <w:rFonts w:ascii="Times New Roman" w:hAnsi="Times New Roman"/>
          <w:i/>
          <w:sz w:val="20"/>
        </w:rPr>
      </w:pPr>
      <w:r>
        <w:rPr>
          <w:rFonts w:ascii="Times New Roman" w:hAnsi="Times New Roman"/>
          <w:i/>
          <w:sz w:val="2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 w:name="z9ecd1a363b3d487f8da7a8118ee536cd"/>
      <w:bookmarkStart w:id="9" w:name="z9ecd1a363b3d487f8da7a8118ee536cd"/>
      <w:bookmarkEnd w:id="9"/>
    </w:p>
    <w:tbl>
      <w:tblPr>
        <w:tblW w:w="3732" w:type="dxa"/>
        <w:jc w:val="left"/>
        <w:tblInd w:w="0" w:type="dxa"/>
        <w:tblLayout w:type="fixed"/>
        <w:tblCellMar>
          <w:top w:w="0" w:type="dxa"/>
          <w:left w:w="0" w:type="dxa"/>
          <w:bottom w:w="0" w:type="dxa"/>
          <w:right w:w="0" w:type="dxa"/>
        </w:tblCellMar>
      </w:tblPr>
      <w:tblGrid>
        <w:gridCol w:w="23"/>
        <w:gridCol w:w="3406"/>
        <w:gridCol w:w="303"/>
      </w:tblGrid>
      <w:tr>
        <w:trPr/>
        <w:tc>
          <w:tcPr>
            <w:tcW w:w="23" w:type="dxa"/>
            <w:tcBorders/>
            <w:vAlign w:val="center"/>
          </w:tcPr>
          <w:p>
            <w:pPr>
              <w:pStyle w:val="TableContents"/>
              <w:bidi w:val="0"/>
              <w:spacing w:before="0" w:after="283"/>
              <w:jc w:val="left"/>
              <w:rPr/>
            </w:pPr>
            <w:r>
              <w:rPr/>
            </w:r>
          </w:p>
        </w:tc>
        <w:tc>
          <w:tcPr>
            <w:tcW w:w="3709" w:type="dxa"/>
            <w:gridSpan w:val="2"/>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ACCEPTED as of the date</w:t>
            </w:r>
          </w:p>
        </w:tc>
      </w:tr>
      <w:tr>
        <w:trPr/>
        <w:tc>
          <w:tcPr>
            <w:tcW w:w="23" w:type="dxa"/>
            <w:tcBorders/>
            <w:vAlign w:val="center"/>
          </w:tcPr>
          <w:p>
            <w:pPr>
              <w:pStyle w:val="TableContents"/>
              <w:bidi w:val="0"/>
              <w:spacing w:before="0" w:after="283"/>
              <w:jc w:val="left"/>
              <w:rPr/>
            </w:pPr>
            <w:r>
              <w:rPr/>
            </w:r>
          </w:p>
        </w:tc>
        <w:tc>
          <w:tcPr>
            <w:tcW w:w="3709"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709" w:type="dxa"/>
            <w:gridSpan w:val="2"/>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first-above written:</w:t>
            </w:r>
          </w:p>
        </w:tc>
      </w:tr>
      <w:tr>
        <w:trPr/>
        <w:tc>
          <w:tcPr>
            <w:tcW w:w="23" w:type="dxa"/>
            <w:tcBorders/>
            <w:vAlign w:val="center"/>
          </w:tcPr>
          <w:p>
            <w:pPr>
              <w:pStyle w:val="TableContents"/>
              <w:bidi w:val="0"/>
              <w:spacing w:before="0" w:after="283"/>
              <w:jc w:val="left"/>
              <w:rPr/>
            </w:pPr>
            <w:r>
              <w:rPr/>
            </w:r>
          </w:p>
        </w:tc>
        <w:tc>
          <w:tcPr>
            <w:tcW w:w="3709" w:type="dxa"/>
            <w:gridSpan w:val="2"/>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709" w:type="dxa"/>
            <w:gridSpan w:val="2"/>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NEIGHBORHOOD INTELLIGENCE, INC.</w:t>
            </w:r>
          </w:p>
        </w:tc>
      </w:tr>
      <w:tr>
        <w:trPr/>
        <w:tc>
          <w:tcPr>
            <w:tcW w:w="23" w:type="dxa"/>
            <w:tcBorders/>
            <w:vAlign w:val="center"/>
          </w:tcPr>
          <w:p>
            <w:pPr>
              <w:pStyle w:val="TableContents"/>
              <w:bidi w:val="0"/>
              <w:spacing w:before="0" w:after="283"/>
              <w:jc w:val="left"/>
              <w:rPr/>
            </w:pPr>
            <w:r>
              <w:rPr/>
            </w:r>
          </w:p>
        </w:tc>
        <w:tc>
          <w:tcPr>
            <w:tcW w:w="3406" w:type="dxa"/>
            <w:tcBorders/>
            <w:vAlign w:val="center"/>
          </w:tcPr>
          <w:p>
            <w:pPr>
              <w:pStyle w:val="TableContents"/>
              <w:bidi w:val="0"/>
              <w:spacing w:before="0" w:after="283"/>
              <w:jc w:val="left"/>
              <w:rPr/>
            </w:pPr>
            <w:r>
              <w:rPr/>
            </w:r>
          </w:p>
        </w:tc>
        <w:tc>
          <w:tcPr>
            <w:tcW w:w="30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40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303" w:type="dxa"/>
            <w:tcBorders>
              <w:bottom w:val="single" w:sz="12" w:space="0" w:color="000000"/>
            </w:tcBorders>
            <w:tcMar>
              <w:bottom w:w="28" w:type="dxa"/>
            </w:tcMar>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10" w:name="zff2c02aa1d534ace87060c7aad586a91"/>
      <w:bookmarkStart w:id="11" w:name="zff2c02aa1d534ace87060c7aad586a91"/>
      <w:bookmarkEnd w:id="11"/>
    </w:p>
    <w:tbl>
      <w:tblPr>
        <w:tblW w:w="591" w:type="dxa"/>
        <w:jc w:val="left"/>
        <w:tblInd w:w="0" w:type="dxa"/>
        <w:tblLayout w:type="fixed"/>
        <w:tblCellMar>
          <w:top w:w="0" w:type="dxa"/>
          <w:left w:w="0" w:type="dxa"/>
          <w:bottom w:w="0" w:type="dxa"/>
          <w:right w:w="0" w:type="dxa"/>
        </w:tblCellMar>
      </w:tblPr>
      <w:tblGrid>
        <w:gridCol w:w="23"/>
        <w:gridCol w:w="545"/>
        <w:gridCol w:w="23"/>
      </w:tblGrid>
      <w:tr>
        <w:trPr/>
        <w:tc>
          <w:tcPr>
            <w:tcW w:w="23"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color w:val="000000"/>
        </w:rPr>
      </w:pPr>
      <w:r>
        <w:rPr>
          <w:color w:val="000000"/>
        </w:rPr>
        <w:t> </w:t>
      </w:r>
    </w:p>
    <w:p>
      <w:pPr>
        <w:pStyle w:val="TextBody"/>
        <w:bidi w:val="0"/>
        <w:spacing w:lineRule="auto" w:line="240" w:before="0" w:after="0"/>
        <w:jc w:val="center"/>
        <w:rPr>
          <w:rFonts w:ascii="Times New Roman" w:hAnsi="Times New Roman"/>
          <w:i/>
          <w:color w:val="000000"/>
          <w:sz w:val="20"/>
        </w:rPr>
      </w:pPr>
      <w:r>
        <w:rPr>
          <w:rFonts w:ascii="Times New Roman" w:hAnsi="Times New Roman"/>
          <w:i/>
          <w:color w:val="000000"/>
          <w:sz w:val="20"/>
        </w:rPr>
        <w:t>[Signature Page to Amendment No. 1 to Capital on Demand TM Sales Agreement]</w:t>
      </w:r>
    </w:p>
    <w:p>
      <w:pPr>
        <w:pStyle w:val="TextBody"/>
        <w:bidi w:val="0"/>
        <w:spacing w:before="0" w:after="0"/>
        <w:jc w:val="left"/>
        <w:rPr>
          <w:color w:val="000000"/>
        </w:rPr>
      </w:pPr>
      <w:r>
        <w:rPr>
          <w:color w:val="000000"/>
        </w:rPr>
        <w:t> </w:t>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2" w:name="ef20083313_ex4-1.htm"/>
      <w:bookmarkStart w:id="13" w:name="ksef20083313_ex41"/>
      <w:bookmarkStart w:id="14" w:name="ef20083313_ex4-1.htm"/>
      <w:bookmarkStart w:id="15" w:name="ksef20083313_ex41"/>
      <w:bookmarkEnd w:id="14"/>
      <w:bookmarkEnd w:id="1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4.1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COMMON STOCK PURCHASE WARRANT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NEIGHBORHOOD INTELLIGENCE, INC.</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b1fcc2b528c948c8ae8edb4f6e5c0d1a"/>
      <w:bookmarkStart w:id="17" w:name="zb1fcc2b528c948c8ae8edb4f6e5c0d1a"/>
      <w:bookmarkEnd w:id="17"/>
    </w:p>
    <w:tbl>
      <w:tblPr>
        <w:tblW w:w="3190" w:type="dxa"/>
        <w:jc w:val="left"/>
        <w:tblInd w:w="0" w:type="dxa"/>
        <w:tblLayout w:type="fixed"/>
        <w:tblCellMar>
          <w:top w:w="0" w:type="dxa"/>
          <w:left w:w="0" w:type="dxa"/>
          <w:bottom w:w="0" w:type="dxa"/>
          <w:right w:w="0" w:type="dxa"/>
        </w:tblCellMar>
      </w:tblPr>
      <w:tblGrid>
        <w:gridCol w:w="1535"/>
        <w:gridCol w:w="1655"/>
      </w:tblGrid>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Shares: [•]</w:t>
            </w:r>
          </w:p>
        </w:tc>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Issue Date: [•], 2026</w:t>
            </w:r>
          </w:p>
        </w:tc>
      </w:tr>
    </w:tbl>
    <w:p>
      <w:pPr>
        <w:pStyle w:val="TextBody"/>
        <w:bidi w:val="0"/>
        <w:spacing w:before="0" w:after="0"/>
        <w:jc w:val="left"/>
        <w:rPr>
          <w:color w:val="000000"/>
        </w:rPr>
      </w:pPr>
      <w:r>
        <w:rPr>
          <w:color w:val="000000"/>
        </w:rPr>
        <w:t> </w:t>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color w:val="000000"/>
          <w:sz w:val="20"/>
        </w:rPr>
        <w:t>THIS COMMON STOCK PURCHASE WARRANT (the “</w:t>
      </w:r>
      <w:r>
        <w:rPr>
          <w:rFonts w:ascii="Times New Roman" w:hAnsi="Times New Roman"/>
          <w:color w:val="000000"/>
          <w:sz w:val="20"/>
          <w:u w:val="single"/>
        </w:rPr>
        <w:t>Warrant</w:t>
      </w:r>
      <w:r>
        <w:rPr>
          <w:rFonts w:ascii="Times New Roman" w:hAnsi="Times New Roman"/>
          <w:color w:val="000000"/>
          <w:sz w:val="20"/>
        </w:rPr>
        <w:t>”) certifies that, for value received, _____________ or its assigns (the “</w:t>
      </w:r>
      <w:r>
        <w:rPr>
          <w:rFonts w:ascii="Times New Roman" w:hAnsi="Times New Roman"/>
          <w:color w:val="000000"/>
          <w:sz w:val="20"/>
          <w:u w:val="single"/>
        </w:rPr>
        <w:t>Holder</w:t>
      </w:r>
      <w:r>
        <w:rPr>
          <w:rFonts w:ascii="Times New Roman" w:hAnsi="Times New Roman"/>
          <w:color w:val="000000"/>
          <w:sz w:val="20"/>
        </w:rPr>
        <w:t>”) is entitled, upon the terms and subject to the limitations on exercise and the conditions hereinafter set forth, at any time on or after the six (6) month anniversary of the Issue Date (the “</w:t>
      </w:r>
      <w:r>
        <w:rPr>
          <w:rFonts w:ascii="Times New Roman" w:hAnsi="Times New Roman"/>
          <w:color w:val="000000"/>
          <w:sz w:val="20"/>
          <w:u w:val="single"/>
        </w:rPr>
        <w:t>Initial Exercise Date</w:t>
      </w:r>
      <w:r>
        <w:rPr>
          <w:rFonts w:ascii="Times New Roman" w:hAnsi="Times New Roman"/>
          <w:color w:val="000000"/>
          <w:sz w:val="20"/>
        </w:rPr>
        <w:t>”) and on or prior to 5:00 p.m. (New York City time) on [•]1, 2031 (the “</w:t>
      </w:r>
      <w:r>
        <w:rPr>
          <w:rFonts w:ascii="Times New Roman" w:hAnsi="Times New Roman"/>
          <w:color w:val="000000"/>
          <w:sz w:val="20"/>
          <w:u w:val="single"/>
        </w:rPr>
        <w:t>Termination Date</w:t>
      </w:r>
      <w:r>
        <w:rPr>
          <w:rFonts w:ascii="Times New Roman" w:hAnsi="Times New Roman"/>
          <w:color w:val="000000"/>
          <w:sz w:val="20"/>
        </w:rPr>
        <w:t>”) but not thereafter, to subscribe for and purchase from Neighborhood Intelligence, Inc., a Delaware corporation (the “</w:t>
      </w:r>
      <w:r>
        <w:rPr>
          <w:rFonts w:ascii="Times New Roman" w:hAnsi="Times New Roman"/>
          <w:color w:val="000000"/>
          <w:sz w:val="20"/>
          <w:u w:val="single"/>
        </w:rPr>
        <w:t>Company</w:t>
      </w:r>
      <w:r>
        <w:rPr>
          <w:rFonts w:ascii="Times New Roman" w:hAnsi="Times New Roman"/>
          <w:color w:val="000000"/>
          <w:sz w:val="20"/>
        </w:rPr>
        <w:t xml:space="preserve">”), up to ______ shares </w:t>
      </w:r>
      <w:bookmarkStart w:id="18" w:name="z_Hlk189832169"/>
      <w:bookmarkEnd w:id="18"/>
      <w:r>
        <w:rPr>
          <w:rFonts w:ascii="Times New Roman" w:hAnsi="Times New Roman"/>
          <w:color w:val="000000"/>
          <w:sz w:val="20"/>
        </w:rPr>
        <w:t>of common stock, par value $0.0001 per share, of the Company (the “</w:t>
      </w:r>
      <w:r>
        <w:rPr>
          <w:rFonts w:ascii="Times New Roman" w:hAnsi="Times New Roman"/>
          <w:color w:val="000000"/>
          <w:sz w:val="20"/>
          <w:u w:val="single"/>
        </w:rPr>
        <w:t>Common Stock</w:t>
      </w:r>
      <w:r>
        <w:rPr>
          <w:rFonts w:ascii="Times New Roman" w:hAnsi="Times New Roman"/>
          <w:color w:val="000000"/>
          <w:sz w:val="20"/>
        </w:rPr>
        <w:t>”) (as subject to adjustment hereunder, the “</w:t>
      </w:r>
      <w:r>
        <w:rPr>
          <w:rFonts w:ascii="Times New Roman" w:hAnsi="Times New Roman"/>
          <w:color w:val="000000"/>
          <w:sz w:val="20"/>
          <w:u w:val="single"/>
        </w:rPr>
        <w:t>Warrant Shares</w:t>
      </w:r>
      <w:r>
        <w:rPr>
          <w:rFonts w:ascii="Times New Roman" w:hAnsi="Times New Roman"/>
          <w:color w:val="000000"/>
          <w:sz w:val="20"/>
        </w:rPr>
        <w:t>”). The purchase price of one share of Common Stock under this Warrant shall be equal to the Exercise Price, as defined in Section 2(b).</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1</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Definitions</w:t>
      </w:r>
      <w:r>
        <w:rPr>
          <w:rFonts w:ascii="Times New Roman" w:hAnsi="Times New Roman"/>
          <w:color w:val="000000"/>
          <w:sz w:val="20"/>
        </w:rPr>
        <w:t>.  Capitalized terms used and not otherwise defined herein shall have the meanings set forth in that certain Securities Purchase Agreement (the “</w:t>
      </w:r>
      <w:r>
        <w:rPr>
          <w:rFonts w:ascii="Times New Roman" w:hAnsi="Times New Roman"/>
          <w:color w:val="000000"/>
          <w:sz w:val="20"/>
          <w:u w:val="single"/>
        </w:rPr>
        <w:t>Purchase Agreement</w:t>
      </w:r>
      <w:r>
        <w:rPr>
          <w:rFonts w:ascii="Times New Roman" w:hAnsi="Times New Roman"/>
          <w:color w:val="000000"/>
          <w:sz w:val="20"/>
        </w:rPr>
        <w:t>”), dated October 5, 2026, among the Company and the purchasers signatory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2</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Exercise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xml:space="preserve">          </w:t>
      </w:r>
      <w:r>
        <w:rPr>
          <w:rFonts w:ascii="Times New Roman" w:hAnsi="Times New Roman"/>
          <w:color w:val="000000"/>
          <w:sz w:val="20"/>
          <w:u w:val="single"/>
        </w:rPr>
        <w:t>Exercise of Warrant</w:t>
      </w:r>
      <w:r>
        <w:rPr>
          <w:rFonts w:ascii="Times New Roman" w:hAnsi="Times New Roman"/>
          <w:color w:val="000000"/>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olor w:val="000000"/>
          <w:sz w:val="20"/>
          <w:u w:val="single"/>
        </w:rPr>
        <w:t>Notice of Exercise</w:t>
      </w:r>
      <w:r>
        <w:rPr>
          <w:rFonts w:ascii="Times New Roman" w:hAnsi="Times New Roman"/>
          <w:color w:val="000000"/>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hAnsi="Times New Roman"/>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1 Insert the date that is the five (5) year anniversary of the Initial Exercise Date, provided that, if such date is not a Trading Day, insert the immediately following Trading Day.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xml:space="preserve">           </w:t>
      </w:r>
      <w:r>
        <w:rPr>
          <w:rFonts w:ascii="Times New Roman" w:hAnsi="Times New Roman"/>
          <w:color w:val="000000"/>
          <w:sz w:val="20"/>
          <w:u w:val="single"/>
        </w:rPr>
        <w:t>Exercise Price</w:t>
      </w:r>
      <w:r>
        <w:rPr>
          <w:rFonts w:ascii="Times New Roman" w:hAnsi="Times New Roman"/>
          <w:color w:val="000000"/>
          <w:sz w:val="20"/>
        </w:rPr>
        <w:t>.  The exercise price per share of Common Stock under this Warrant shall be $3.45 subject to adjustment hereunder (the “</w:t>
      </w:r>
      <w:r>
        <w:rPr>
          <w:rFonts w:ascii="Times New Roman" w:hAnsi="Times New Roman"/>
          <w:color w:val="000000"/>
          <w:sz w:val="20"/>
          <w:u w:val="single"/>
        </w:rPr>
        <w:t>Exercise Price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xml:space="preserve">           </w:t>
      </w:r>
      <w:r>
        <w:rPr>
          <w:rFonts w:ascii="Times New Roman" w:hAnsi="Times New Roman"/>
          <w:color w:val="000000"/>
          <w:sz w:val="20"/>
          <w:u w:val="single"/>
        </w:rPr>
        <w:t>Cashless Exercise</w:t>
      </w:r>
      <w:r>
        <w:rPr>
          <w:rFonts w:ascii="Times New Roman" w:hAnsi="Times New Roman"/>
          <w:color w:val="000000"/>
          <w:sz w:val="20"/>
        </w:rPr>
        <w:t>. If at the time of exercise hereof there is no effective registration statement registering, or the prospectus contained therein is not available for the issuance of the Warrant Shares to the Holder, then this Warrant may also be exercised, in whole or in part, by means of a “cashless exercise” in which the Holder shall be entitled to receive a number of Warrant Shares equal to the quotient obtained by dividing [(A-B) (X)] by (A), where: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 w:name="ze585468ad9c54c868652ddf6941b0850"/>
      <w:bookmarkStart w:id="20" w:name="ze585468ad9c54c868652ddf6941b0850"/>
      <w:bookmarkEnd w:id="20"/>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sz w:val="20"/>
              </w:rPr>
            </w:pPr>
            <w:bookmarkStart w:id="21" w:name="z_Hlk20392761"/>
            <w:bookmarkEnd w:id="21"/>
            <w:r>
              <w:rPr>
                <w:rFonts w:ascii="Times New Roman" w:hAnsi="Times New Roman"/>
                <w:sz w:val="20"/>
              </w:rPr>
              <w:t>(A)</w:t>
            </w:r>
            <w:r>
              <w:rPr>
                <w:sz w:val="20"/>
              </w:rPr>
              <w:t xml:space="preserve"> </w:t>
            </w:r>
            <w:r>
              <w:rPr>
                <w:rFonts w:ascii="Times New Roman" w:hAnsi="Times New Roman"/>
                <w:sz w:val="20"/>
              </w:rPr>
              <w:t>=</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w:t>
            </w:r>
            <w:r>
              <w:rPr>
                <w:rFonts w:ascii="Times New Roman" w:hAnsi="Times New Roman"/>
                <w:sz w:val="20"/>
                <w:u w:val="single"/>
              </w:rPr>
              <w:t>Bloomberg</w:t>
            </w:r>
            <w:r>
              <w:rPr>
                <w:rFonts w:ascii="Times New Roman" w:hAnsi="Times New Roman"/>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2" w:name="z54651c3fc22a4c83aa2e1fdb9b3abbe0"/>
      <w:bookmarkStart w:id="23" w:name="z54651c3fc22a4c83aa2e1fdb9b3abbe0"/>
      <w:bookmarkEnd w:id="23"/>
    </w:p>
    <w:tbl>
      <w:tblPr>
        <w:tblW w:w="4203" w:type="dxa"/>
        <w:jc w:val="left"/>
        <w:tblInd w:w="0" w:type="dxa"/>
        <w:tblLayout w:type="fixed"/>
        <w:tblCellMar>
          <w:top w:w="0" w:type="dxa"/>
          <w:left w:w="0" w:type="dxa"/>
          <w:bottom w:w="0" w:type="dxa"/>
          <w:right w:w="0" w:type="dxa"/>
        </w:tblCellMar>
      </w:tblPr>
      <w:tblGrid>
        <w:gridCol w:w="23"/>
        <w:gridCol w:w="470"/>
        <w:gridCol w:w="3710"/>
      </w:tblGrid>
      <w:tr>
        <w:trPr/>
        <w:tc>
          <w:tcPr>
            <w:tcW w:w="23" w:type="dxa"/>
            <w:tcBorders/>
            <w:vAlign w:val="center"/>
          </w:tcPr>
          <w:p>
            <w:pPr>
              <w:pStyle w:val="TableContents"/>
              <w:bidi w:val="0"/>
              <w:spacing w:before="0" w:after="283"/>
              <w:jc w:val="left"/>
              <w:rPr/>
            </w:pPr>
            <w:r>
              <w:rPr/>
            </w:r>
          </w:p>
        </w:tc>
        <w:tc>
          <w:tcPr>
            <w:tcW w:w="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w:t>
            </w:r>
          </w:p>
        </w:tc>
        <w:tc>
          <w:tcPr>
            <w:tcW w:w="371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the Exercise Price, as adjusted hereunder;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4" w:name="z1dc25533dd4843efa6112fb4dd81e194"/>
      <w:bookmarkStart w:id="25" w:name="z1dc25533dd4843efa6112fb4dd81e194"/>
      <w:bookmarkEnd w:id="25"/>
    </w:p>
    <w:tbl>
      <w:tblPr>
        <w:tblW w:w="10205" w:type="dxa"/>
        <w:jc w:val="left"/>
        <w:tblInd w:w="0" w:type="dxa"/>
        <w:tblLayout w:type="fixed"/>
        <w:tblCellMar>
          <w:top w:w="0" w:type="dxa"/>
          <w:left w:w="0" w:type="dxa"/>
          <w:bottom w:w="0" w:type="dxa"/>
          <w:right w:w="0" w:type="dxa"/>
        </w:tblCellMar>
      </w:tblPr>
      <w:tblGrid>
        <w:gridCol w:w="60"/>
        <w:gridCol w:w="339"/>
        <w:gridCol w:w="9806"/>
      </w:tblGrid>
      <w:tr>
        <w:trPr/>
        <w:tc>
          <w:tcPr>
            <w:tcW w:w="60" w:type="dxa"/>
            <w:tcBorders/>
            <w:vAlign w:val="center"/>
          </w:tcPr>
          <w:p>
            <w:pPr>
              <w:pStyle w:val="TableContents"/>
              <w:bidi w:val="0"/>
              <w:spacing w:before="0" w:after="0"/>
              <w:jc w:val="left"/>
              <w:rPr/>
            </w:pPr>
            <w:r>
              <w:rPr/>
              <w:t> </w:t>
            </w:r>
          </w:p>
        </w:tc>
        <w:tc>
          <w:tcPr>
            <w:tcW w:w="3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 =</w:t>
            </w:r>
          </w:p>
        </w:tc>
        <w:tc>
          <w:tcPr>
            <w:tcW w:w="980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u w:val="single"/>
        </w:rPr>
        <w:t>Bid Price</w:t>
      </w:r>
      <w:r>
        <w:rPr>
          <w:rFonts w:ascii="Times New Roman" w:hAnsi="Times New Roman"/>
          <w:color w:val="000000"/>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OTCQB Venture Market (“</w:t>
      </w:r>
      <w:r>
        <w:rPr>
          <w:rFonts w:ascii="Times New Roman" w:hAnsi="Times New Roman"/>
          <w:color w:val="000000"/>
          <w:sz w:val="20"/>
          <w:u w:val="single"/>
        </w:rPr>
        <w:t>OTCQB</w:t>
      </w:r>
      <w:r>
        <w:rPr>
          <w:rFonts w:ascii="Times New Roman" w:hAnsi="Times New Roman"/>
          <w:color w:val="000000"/>
          <w:sz w:val="20"/>
        </w:rPr>
        <w:t>”) or the OTCQX Best Market (“</w:t>
      </w:r>
      <w:r>
        <w:rPr>
          <w:rFonts w:ascii="Times New Roman" w:hAnsi="Times New Roman"/>
          <w:color w:val="000000"/>
          <w:sz w:val="20"/>
          <w:u w:val="single"/>
        </w:rPr>
        <w:t>OTCQX</w:t>
      </w:r>
      <w:r>
        <w:rPr>
          <w:rFonts w:ascii="Times New Roman" w:hAnsi="Times New Roman"/>
          <w:color w:val="000000"/>
          <w:sz w:val="20"/>
        </w:rPr>
        <w:t>”),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Open Market (“</w:t>
      </w:r>
      <w:r>
        <w:rPr>
          <w:rFonts w:ascii="Times New Roman" w:hAnsi="Times New Roman"/>
          <w:color w:val="000000"/>
          <w:sz w:val="20"/>
          <w:u w:val="single"/>
        </w:rPr>
        <w:t>Pink Market</w:t>
      </w:r>
      <w:r>
        <w:rPr>
          <w:rFonts w:ascii="Times New Roman" w:hAnsi="Times New Roman"/>
          <w:color w:val="000000"/>
          <w:sz w:val="20"/>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u w:val="single"/>
        </w:rPr>
        <w:t>VWAP</w:t>
      </w:r>
      <w:r>
        <w:rPr>
          <w:rFonts w:ascii="Times New Roman" w:hAnsi="Times New Roman"/>
          <w:color w:val="000000"/>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then listed or quoted on the OTCQB or the OTCQX,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Mechanics of Exercise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ind w:left="2160" w:right="0" w:firstLine="72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Delivery of Warrant Shares Upon Exercise</w:t>
      </w:r>
      <w:r>
        <w:rPr>
          <w:rFonts w:ascii="Times New Roman" w:hAnsi="Times New Roman"/>
          <w:color w:val="000000"/>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0"/>
          <w:u w:val="single"/>
        </w:rPr>
        <w:t>DWAC</w:t>
      </w:r>
      <w:r>
        <w:rPr>
          <w:rFonts w:ascii="Times New Roman" w:hAnsi="Times New Roman"/>
          <w:color w:val="000000"/>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hAnsi="Times New Roman"/>
          <w:color w:val="000000"/>
          <w:sz w:val="20"/>
          <w:u w:val="single"/>
        </w:rPr>
        <w:t>Warrant Share Delivery Date</w:t>
      </w:r>
      <w:r>
        <w:rPr>
          <w:rFonts w:ascii="Times New Roman" w:hAnsi="Times New Roman"/>
          <w:color w:val="000000"/>
          <w:sz w:val="20"/>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w:t>
      </w:r>
      <w:bookmarkStart w:id="26" w:name="z_Hlk20393258"/>
      <w:bookmarkEnd w:id="26"/>
      <w:r>
        <w:rPr>
          <w:rFonts w:ascii="Times New Roman" w:hAnsi="Times New Roman"/>
          <w:color w:val="000000"/>
          <w:sz w:val="20"/>
        </w:rPr>
        <w:t>The Company agrees to maintain a transfer agent that is a participant in the FAST program so long as this Warrant remains outstanding and exercisable.  As used herein, “</w:t>
      </w:r>
      <w:r>
        <w:rPr>
          <w:rFonts w:ascii="Times New Roman" w:hAnsi="Times New Roman"/>
          <w:color w:val="000000"/>
          <w:sz w:val="20"/>
          <w:u w:val="single"/>
        </w:rPr>
        <w:t>Standard Settlement Period</w:t>
      </w:r>
      <w:r>
        <w:rPr>
          <w:rFonts w:ascii="Times New Roman" w:hAnsi="Times New Roman"/>
          <w:color w:val="000000"/>
          <w:sz w:val="20"/>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or cause to be delivered,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ii.</w:t>
      </w:r>
      <w:r>
        <w:rPr>
          <w:rFonts w:ascii="Times New Roman;Times;serif" w:hAnsi="Times New Roman;Times;serif"/>
          <w:color w:val="000000"/>
          <w:sz w:val="20"/>
        </w:rPr>
        <w:t xml:space="preserve">          </w:t>
      </w:r>
      <w:r>
        <w:rPr>
          <w:rFonts w:ascii="Times New Roman" w:hAnsi="Times New Roman"/>
          <w:color w:val="000000"/>
          <w:sz w:val="20"/>
          <w:u w:val="single"/>
        </w:rPr>
        <w:t>Delivery of New Warrants Upon Exercise</w:t>
      </w:r>
      <w:r>
        <w:rPr>
          <w:rFonts w:ascii="Times New Roman" w:hAnsi="Times New Roman"/>
          <w:color w:val="000000"/>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iii.</w:t>
      </w:r>
      <w:r>
        <w:rPr>
          <w:rFonts w:ascii="Times New Roman;Times;serif" w:hAnsi="Times New Roman;Times;serif"/>
          <w:color w:val="000000"/>
          <w:sz w:val="20"/>
        </w:rPr>
        <w:t xml:space="preserve">         </w:t>
      </w:r>
      <w:r>
        <w:rPr>
          <w:rFonts w:ascii="Times New Roman" w:hAnsi="Times New Roman"/>
          <w:color w:val="000000"/>
          <w:sz w:val="20"/>
          <w:u w:val="single"/>
        </w:rPr>
        <w:t>Rescission Rights</w:t>
      </w:r>
      <w:r>
        <w:rPr>
          <w:rFonts w:ascii="Times New Roman" w:hAnsi="Times New Roman"/>
          <w:color w:val="000000"/>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iv.</w:t>
      </w:r>
      <w:r>
        <w:rPr>
          <w:rFonts w:ascii="Times New Roman;Times;serif" w:hAnsi="Times New Roman;Times;serif"/>
          <w:color w:val="000000"/>
          <w:sz w:val="20"/>
        </w:rPr>
        <w:t>          </w:t>
      </w:r>
      <w:r>
        <w:rPr>
          <w:rFonts w:ascii="Times New Roman" w:hAnsi="Times New Roman"/>
          <w:color w:val="000000"/>
          <w:sz w:val="20"/>
          <w:u w:val="single"/>
        </w:rPr>
        <w:t>Compensation for Buy-In on Failure to Timely Deliver Warrant Shares Upon Exercise</w:t>
      </w:r>
      <w:r>
        <w:rPr>
          <w:rFonts w:ascii="Times New Roman" w:hAnsi="Times New Roman"/>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0"/>
          <w:u w:val="single"/>
        </w:rPr>
        <w:t>Buy-In</w:t>
      </w:r>
      <w:r>
        <w:rPr>
          <w:rFonts w:ascii="Times New Roman" w:hAnsi="Times New Roman"/>
          <w:color w:val="000000"/>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for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v.</w:t>
      </w:r>
      <w:r>
        <w:rPr>
          <w:rFonts w:ascii="Times New Roman;Times;serif" w:hAnsi="Times New Roman;Times;serif"/>
          <w:color w:val="000000"/>
          <w:sz w:val="20"/>
        </w:rPr>
        <w:t>          </w:t>
      </w:r>
      <w:r>
        <w:rPr>
          <w:rFonts w:ascii="Times New Roman" w:hAnsi="Times New Roman"/>
          <w:color w:val="000000"/>
          <w:sz w:val="20"/>
          <w:u w:val="single"/>
        </w:rPr>
        <w:t>No Fractional Shares or Scrip</w:t>
      </w:r>
      <w:r>
        <w:rPr>
          <w:rFonts w:ascii="Times New Roman" w:hAnsi="Times New Roman"/>
          <w:color w:val="000000"/>
          <w:sz w:val="20"/>
        </w:rPr>
        <w:t>.  No fractional shares or scrip representing fractional shares shall be issued upon the exercise of this Warrant.  As to any fraction of a share which the Holder would otherwise be entitled to purchase upon such exercise, the number of Warrant Shares to be issued shall be rounded down to the nearest whole number and Company shall pay a cash adjustment in respect of such final fraction in an amount equal to such fraction multiplied by the Exercise Price.</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vi.</w:t>
      </w:r>
      <w:r>
        <w:rPr>
          <w:rFonts w:ascii="Times New Roman;Times;serif" w:hAnsi="Times New Roman;Times;serif"/>
          <w:color w:val="000000"/>
          <w:sz w:val="20"/>
        </w:rPr>
        <w:t xml:space="preserve">         </w:t>
      </w:r>
      <w:r>
        <w:rPr>
          <w:rFonts w:ascii="Times New Roman" w:hAnsi="Times New Roman"/>
          <w:color w:val="000000"/>
          <w:sz w:val="20"/>
          <w:u w:val="single"/>
        </w:rPr>
        <w:t>Charges, Taxes and Expenses</w:t>
      </w:r>
      <w:r>
        <w:rPr>
          <w:rFonts w:ascii="Times New Roman" w:hAnsi="Times New Roman"/>
          <w:color w:val="000000"/>
          <w:sz w:val="20"/>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vii.</w:t>
      </w:r>
      <w:r>
        <w:rPr>
          <w:rFonts w:ascii="Times New Roman;Times;serif" w:hAnsi="Times New Roman;Times;serif"/>
          <w:color w:val="000000"/>
          <w:sz w:val="20"/>
        </w:rPr>
        <w:t xml:space="preserve">         </w:t>
      </w:r>
      <w:r>
        <w:rPr>
          <w:rFonts w:ascii="Times New Roman" w:hAnsi="Times New Roman"/>
          <w:color w:val="000000"/>
          <w:sz w:val="20"/>
          <w:u w:val="single"/>
        </w:rPr>
        <w:t>Closing of Books</w:t>
      </w:r>
      <w:r>
        <w:rPr>
          <w:rFonts w:ascii="Times New Roman" w:hAnsi="Times New Roman"/>
          <w:color w:val="000000"/>
          <w:sz w:val="20"/>
        </w:rPr>
        <w:t>.  The Company will not close its stockholder books or records in any manner which prevents the timely exercise of this Warrant, pursuant to the terms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1440" w:right="0" w:hanging="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Holder’s Exercise Limitations</w:t>
      </w:r>
      <w:r>
        <w:rPr>
          <w:rFonts w:ascii="Times New Roman" w:hAnsi="Times New Roman"/>
          <w:color w:val="000000"/>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 w:hAnsi="Times New Roman"/>
          <w:color w:val="000000"/>
          <w:sz w:val="20"/>
          <w:u w:val="single"/>
        </w:rPr>
        <w:t>Attribution Parties</w:t>
      </w:r>
      <w:r>
        <w:rPr>
          <w:rFonts w:ascii="Times New Roman" w:hAnsi="Times New Roman"/>
          <w:color w:val="000000"/>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(other than to the extent that the information on the number of outstanding shares of Common Stock is provided by the Company, either directly or through one or more public filings relied upon by the Holder).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olor w:val="000000"/>
          <w:sz w:val="20"/>
          <w:u w:val="single"/>
        </w:rPr>
        <w:t>Beneficial Ownership Limitation</w:t>
      </w:r>
      <w:r>
        <w:rPr>
          <w:rFonts w:ascii="Times New Roman" w:hAnsi="Times New Roman"/>
          <w:color w:val="000000"/>
          <w:sz w:val="20"/>
        </w:rPr>
        <w:t xml:space="preserve">” shall be </w:t>
      </w:r>
      <w:bookmarkStart w:id="27" w:name="z_Hlk189832694"/>
      <w:bookmarkEnd w:id="27"/>
      <w:r>
        <w:rPr>
          <w:rFonts w:ascii="Times New Roman" w:hAnsi="Times New Roman"/>
          <w:color w:val="000000"/>
          <w:sz w:val="20"/>
        </w:rPr>
        <w:t>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3</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xml:space="preserve">           </w:t>
      </w:r>
      <w:r>
        <w:rPr>
          <w:rFonts w:ascii="Times New Roman" w:hAnsi="Times New Roman"/>
          <w:color w:val="000000"/>
          <w:sz w:val="20"/>
          <w:u w:val="single"/>
        </w:rPr>
        <w:t>Stock Dividends and Splits</w:t>
      </w:r>
      <w:r>
        <w:rPr>
          <w:rFonts w:ascii="Times New Roman" w:hAnsi="Times New Roman"/>
          <w:color w:val="000000"/>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noBreakHyphen/>
        <w:t>classification.</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xml:space="preserve">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w:t>
      </w:r>
      <w:r>
        <w:rPr>
          <w:rFonts w:ascii="Times New Roman" w:hAnsi="Times New Roman"/>
          <w:color w:val="000000"/>
          <w:sz w:val="20"/>
          <w:u w:val="single"/>
        </w:rPr>
        <w:t>Subsequent Rights Offerings</w:t>
      </w:r>
      <w:r>
        <w:rPr>
          <w:rFonts w:ascii="Times New Roman" w:hAnsi="Times New Roman"/>
          <w:color w:val="000000"/>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0"/>
          <w:u w:val="single"/>
        </w:rPr>
        <w:t>Purchase Rights</w:t>
      </w:r>
      <w:r>
        <w:rPr>
          <w:rFonts w:ascii="Times New Roman" w:hAnsi="Times New Roman"/>
          <w:color w:val="000000"/>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d)</w:t>
      </w:r>
      <w:r>
        <w:rPr>
          <w:rFonts w:ascii="Times New Roman;Times;serif" w:hAnsi="Times New Roman;Times;serif"/>
          <w:color w:val="000000"/>
          <w:sz w:val="20"/>
        </w:rPr>
        <w:t xml:space="preserve">          </w:t>
      </w:r>
      <w:r>
        <w:rPr>
          <w:rFonts w:ascii="Times New Roman" w:hAnsi="Times New Roman"/>
          <w:color w:val="000000"/>
          <w:sz w:val="20"/>
          <w:u w:val="single"/>
        </w:rPr>
        <w:t>Pro Rata Distributions</w:t>
      </w:r>
      <w:r>
        <w:rPr>
          <w:rFonts w:ascii="Times New Roman" w:hAnsi="Times New Roman"/>
          <w:color w:val="000000"/>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0"/>
          <w:u w:val="single"/>
        </w:rPr>
        <w:t>Distribution</w:t>
      </w:r>
      <w:r>
        <w:rPr>
          <w:rFonts w:ascii="Times New Roman" w:hAnsi="Times New Roman"/>
          <w:color w:val="000000"/>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e)</w:t>
      </w:r>
      <w:r>
        <w:rPr>
          <w:rFonts w:ascii="Times New Roman;Times;serif" w:hAnsi="Times New Roman;Times;serif"/>
          <w:color w:val="000000"/>
          <w:sz w:val="20"/>
        </w:rPr>
        <w:t xml:space="preserve">           </w:t>
      </w:r>
      <w:r>
        <w:rPr>
          <w:rFonts w:ascii="Times New Roman" w:hAnsi="Times New Roman"/>
          <w:color w:val="000000"/>
          <w:sz w:val="20"/>
          <w:u w:val="single"/>
        </w:rPr>
        <w:t>Fundamental Transaction</w:t>
      </w:r>
      <w:r>
        <w:rPr>
          <w:rFonts w:ascii="Times New Roman" w:hAnsi="Times New Roman"/>
          <w:color w:val="000000"/>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outstanding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w:t>
      </w:r>
      <w:bookmarkStart w:id="28" w:name="OLE_LINK5"/>
      <w:bookmarkStart w:id="29" w:name="OLE_LINK6"/>
      <w:bookmarkEnd w:id="28"/>
      <w:bookmarkEnd w:id="29"/>
      <w:r>
        <w:rPr>
          <w:rFonts w:ascii="Times New Roman" w:hAnsi="Times New Roman"/>
          <w:color w:val="000000"/>
          <w:sz w:val="20"/>
        </w:rPr>
        <w:t>,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w:t>
      </w:r>
      <w:r>
        <w:rPr>
          <w:rFonts w:ascii="Times New Roman" w:hAnsi="Times New Roman"/>
          <w:color w:val="FF0000"/>
          <w:sz w:val="20"/>
        </w:rPr>
        <w:t> </w:t>
      </w:r>
      <w:r>
        <w:rPr>
          <w:rFonts w:ascii="Times New Roman" w:hAnsi="Times New Roman"/>
          <w:color w:val="000000"/>
          <w:sz w:val="20"/>
        </w:rPr>
        <w:t>of the voting power of the outstanding common equity of the Company (each a “</w:t>
      </w:r>
      <w:r>
        <w:rPr>
          <w:rFonts w:ascii="Times New Roman" w:hAnsi="Times New Roman"/>
          <w:color w:val="000000"/>
          <w:sz w:val="20"/>
          <w:u w:val="single"/>
        </w:rPr>
        <w:t>Fundamental Transaction</w:t>
      </w:r>
      <w:r>
        <w:rPr>
          <w:rFonts w:ascii="Times New Roman" w:hAnsi="Times New Roman"/>
          <w:color w:val="00000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0"/>
          <w:u w:val="single"/>
        </w:rPr>
        <w:t>Alternate Consideration</w:t>
      </w:r>
      <w:r>
        <w:rPr>
          <w:rFonts w:ascii="Times New Roman" w:hAnsi="Times New Roman"/>
          <w:color w:val="000000"/>
          <w:sz w:val="20"/>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however</w:t>
      </w:r>
      <w:r>
        <w:rPr>
          <w:rFonts w:ascii="Times New Roman" w:hAnsi="Times New Roman"/>
          <w:color w:val="000000"/>
          <w:sz w:val="20"/>
        </w:rPr>
        <w:t xml:space="preserve">, that, if the Fundamental Transaction is not within the Company's control, including not approved by the Company's Board of Directors, the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hAnsi="Times New Roman"/>
          <w:color w:val="000000"/>
          <w:sz w:val="20"/>
          <w:u w:val="single"/>
        </w:rPr>
        <w:t>Black Scholes Value</w:t>
      </w:r>
      <w:r>
        <w:rPr>
          <w:rFonts w:ascii="Times New Roman" w:hAnsi="Times New Roman"/>
          <w:color w:val="000000"/>
          <w:sz w:val="20"/>
        </w:rPr>
        <w:t xml:space="preserv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w:t>
      </w:r>
      <w:bookmarkStart w:id="30" w:name="z_Hlk189930122"/>
      <w:bookmarkEnd w:id="30"/>
      <w:r>
        <w:rPr>
          <w:rFonts w:ascii="Times New Roman" w:hAnsi="Times New Roman"/>
          <w:color w:val="000000"/>
          <w:sz w:val="20"/>
        </w:rPr>
        <w:t xml:space="preserve">the 90 day volatility, as obtained from the HVT function on Bloomberg (determined utilizing a 365-day annualization factor) as of the Trading Day immediately following the public announcement of the applicable Fundamental Transaction, </w:t>
      </w:r>
      <w:bookmarkStart w:id="31" w:name="z_Hlk152678735"/>
      <w:bookmarkEnd w:id="31"/>
      <w:r>
        <w:rPr>
          <w:rFonts w:ascii="Times New Roman" w:hAnsi="Times New Roman"/>
          <w:color w:val="000000"/>
          <w:sz w:val="20"/>
        </w:rPr>
        <w:t>(C)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hAnsi="Times New Roman"/>
          <w:color w:val="000000"/>
          <w:sz w:val="20"/>
          <w:u w:val="single"/>
        </w:rPr>
        <w:t>Successor Entity</w:t>
      </w:r>
      <w:r>
        <w:rPr>
          <w:rFonts w:ascii="Times New Roman" w:hAnsi="Times New Roman"/>
          <w:color w:val="000000"/>
          <w:sz w:val="20"/>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whether the Company has sufficient authorized shares of Common Stock for the issuance of Warrant Shares.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f)</w:t>
      </w:r>
      <w:r>
        <w:rPr>
          <w:rFonts w:ascii="Times New Roman;Times;serif" w:hAnsi="Times New Roman;Times;serif"/>
          <w:color w:val="000000"/>
          <w:sz w:val="20"/>
        </w:rPr>
        <w:t xml:space="preserve">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g)</w:t>
      </w:r>
      <w:r>
        <w:rPr>
          <w:rFonts w:ascii="Times New Roman;Times;serif" w:hAnsi="Times New Roman;Times;serif"/>
          <w:color w:val="000000"/>
          <w:sz w:val="20"/>
        </w:rPr>
        <w:t xml:space="preserve">          </w:t>
      </w:r>
      <w:r>
        <w:rPr>
          <w:rFonts w:ascii="Times New Roman" w:hAnsi="Times New Roman"/>
          <w:color w:val="000000"/>
          <w:sz w:val="20"/>
          <w:u w:val="single"/>
        </w:rPr>
        <w:t>Calculations</w:t>
      </w:r>
      <w:r>
        <w:rPr>
          <w:rFonts w:ascii="Times New Roman" w:hAnsi="Times New Roman"/>
          <w:color w:val="000000"/>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h)</w:t>
      </w:r>
      <w:r>
        <w:rPr>
          <w:rFonts w:ascii="Times New Roman;Times;serif" w:hAnsi="Times New Roman;Times;serif"/>
          <w:color w:val="000000"/>
          <w:sz w:val="20"/>
        </w:rPr>
        <w:t xml:space="preserve">           </w:t>
      </w:r>
      <w:r>
        <w:rPr>
          <w:rFonts w:ascii="Times New Roman" w:hAnsi="Times New Roman"/>
          <w:color w:val="000000"/>
          <w:sz w:val="20"/>
          <w:u w:val="single"/>
        </w:rPr>
        <w:t>Notice to Holder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w:t>
      </w:r>
      <w:r>
        <w:rPr>
          <w:rFonts w:ascii="Times New Roman;Times;serif" w:hAnsi="Times New Roman;Times;serif"/>
          <w:color w:val="000000"/>
          <w:sz w:val="20"/>
        </w:rPr>
        <w:t xml:space="preserve">          </w:t>
      </w:r>
      <w:r>
        <w:rPr>
          <w:rFonts w:ascii="Times New Roman" w:hAnsi="Times New Roman"/>
          <w:color w:val="000000"/>
          <w:sz w:val="20"/>
          <w:u w:val="single"/>
        </w:rPr>
        <w:t>Adjustment to Exercise Price</w:t>
      </w:r>
      <w:r>
        <w:rPr>
          <w:rFonts w:ascii="Times New Roman" w:hAnsi="Times New Roman"/>
          <w:color w:val="000000"/>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For purposes of clarification, whether or not the Company provides any such notice, each Holder shall only be required to pay the adjusted Exercise Price with respect to such exercise, regardless of whether a Holder accurately refers to such price in any Notice of Exercise If the aggregate Exercise Price paid by the Holder exceeds the amount that should have been paid based on the adjusted Exercise Price, the Company shall promptly return any excess aggregate Exercise Price to the Holder.</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ii.</w:t>
      </w:r>
      <w:r>
        <w:rPr>
          <w:rFonts w:ascii="Times New Roman;Times;serif" w:hAnsi="Times New Roman;Times;serif"/>
          <w:color w:val="000000"/>
          <w:sz w:val="20"/>
        </w:rPr>
        <w:t xml:space="preserve">        </w:t>
      </w:r>
      <w:r>
        <w:rPr>
          <w:rFonts w:ascii="Times New Roman" w:hAnsi="Times New Roman"/>
          <w:color w:val="000000"/>
          <w:sz w:val="20"/>
          <w:u w:val="single"/>
        </w:rPr>
        <w:t>Notice to Allow Exercise by Holder</w:t>
      </w:r>
      <w:r>
        <w:rPr>
          <w:rFonts w:ascii="Times New Roman" w:hAnsi="Times New Roman"/>
          <w:color w:val="000000"/>
          <w:sz w:val="20"/>
        </w:rPr>
        <w:t xml:space="preserve">. If, while the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w:t>
      </w:r>
      <w:bookmarkStart w:id="32" w:name="z_Hlk20393876"/>
      <w:bookmarkEnd w:id="32"/>
      <w:r>
        <w:rPr>
          <w:rFonts w:ascii="Times New Roman" w:hAnsi="Times New Roman"/>
          <w:color w:val="000000"/>
          <w:sz w:val="20"/>
        </w:rPr>
        <w:t>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540"/>
        <w:jc w:val="both"/>
        <w:rPr>
          <w:rFonts w:ascii="Times New Roman;Times;serif" w:hAnsi="Times New Roman;Times;serif"/>
          <w:color w:val="000000"/>
          <w:sz w:val="20"/>
        </w:rPr>
      </w:pPr>
      <w:r>
        <w:rPr>
          <w:rFonts w:ascii="Times New Roman" w:hAnsi="Times New Roman"/>
          <w:color w:val="000000"/>
          <w:sz w:val="20"/>
        </w:rPr>
        <w:t>iii.</w:t>
      </w:r>
      <w:r>
        <w:rPr>
          <w:rFonts w:ascii="Times New Roman;Times;serif" w:hAnsi="Times New Roman;Times;serif"/>
          <w:color w:val="000000"/>
          <w:sz w:val="20"/>
        </w:rPr>
        <w:t xml:space="preserve">            </w:t>
      </w:r>
      <w:r>
        <w:rPr>
          <w:rFonts w:ascii="Times New Roman" w:hAnsi="Times New Roman"/>
          <w:color w:val="000000"/>
          <w:sz w:val="20"/>
          <w:u w:val="single"/>
        </w:rPr>
        <w:t>Voluntary Adjustment By Company</w:t>
      </w:r>
      <w:r>
        <w:rPr>
          <w:rFonts w:ascii="Times New Roman" w:hAnsi="Times New Roman"/>
          <w:color w:val="000000"/>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4</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Transfer of Warrant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w:t>
      </w:r>
      <w:r>
        <w:rPr>
          <w:rFonts w:ascii="Times New Roman" w:hAnsi="Times New Roman"/>
          <w:color w:val="000000"/>
          <w:sz w:val="20"/>
          <w:u w:val="single"/>
        </w:rPr>
        <w:t>Transferability</w:t>
      </w:r>
      <w:r>
        <w:rPr>
          <w:rFonts w:ascii="Times New Roman" w:hAnsi="Times New Roman"/>
          <w:color w:val="000000"/>
          <w:sz w:val="20"/>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w:t>
      </w:r>
      <w:bookmarkStart w:id="33" w:name="z_Hlk20394027"/>
      <w:bookmarkEnd w:id="33"/>
      <w:r>
        <w:rPr>
          <w:rFonts w:ascii="Times New Roman" w:hAnsi="Times New Roman"/>
          <w:color w:val="000000"/>
          <w:sz w:val="20"/>
        </w:rPr>
        <w:t>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w:t>
      </w:r>
      <w:r>
        <w:rPr>
          <w:rFonts w:ascii="Times New Roman" w:hAnsi="Times New Roman"/>
          <w:color w:val="000000"/>
          <w:sz w:val="20"/>
          <w:u w:val="single"/>
        </w:rPr>
        <w:t>New Warrants</w:t>
      </w:r>
      <w:r>
        <w:rPr>
          <w:rFonts w:ascii="Times New Roman" w:hAnsi="Times New Roman"/>
          <w:color w:val="000000"/>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xml:space="preserve">          </w:t>
      </w:r>
      <w:r>
        <w:rPr>
          <w:rFonts w:ascii="Times New Roman" w:hAnsi="Times New Roman"/>
          <w:color w:val="000000"/>
          <w:sz w:val="20"/>
          <w:u w:val="single"/>
        </w:rPr>
        <w:t>Warrant Register</w:t>
      </w:r>
      <w:r>
        <w:rPr>
          <w:rFonts w:ascii="Times New Roman" w:hAnsi="Times New Roman"/>
          <w:color w:val="000000"/>
          <w:sz w:val="20"/>
        </w:rPr>
        <w:t>. The Company shall register this Warrant, upon records to be maintained by the Company for that purpose (the “</w:t>
      </w:r>
      <w:r>
        <w:rPr>
          <w:rFonts w:ascii="Times New Roman" w:hAnsi="Times New Roman"/>
          <w:color w:val="000000"/>
          <w:sz w:val="20"/>
          <w:u w:val="single"/>
        </w:rPr>
        <w:t>Warrant Register</w:t>
      </w:r>
      <w:r>
        <w:rPr>
          <w:rFonts w:ascii="Times New Roman" w:hAnsi="Times New Roman"/>
          <w:color w:val="000000"/>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5</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xml:space="preserve">           </w:t>
      </w:r>
      <w:r>
        <w:rPr>
          <w:rFonts w:ascii="Times New Roman" w:hAnsi="Times New Roman"/>
          <w:color w:val="000000"/>
          <w:sz w:val="20"/>
          <w:u w:val="single"/>
        </w:rPr>
        <w:t>No Rights as Stockholder Until Exercise; No Settlement in Cash</w:t>
      </w:r>
      <w:r>
        <w:rPr>
          <w:rFonts w:ascii="Times New Roman" w:hAnsi="Times New Roman"/>
          <w:color w:val="000000"/>
          <w:sz w:val="20"/>
        </w:rPr>
        <w:t xml:space="preserve">.  This Warrant does not entitle the Holder to any voting rights, dividends or other rights as a stockholder of the Company prior to the exercise hereof as set forth in Section 2(d)(i), except as expressly set forth in Section 3.  </w:t>
      </w:r>
      <w:bookmarkStart w:id="34" w:name="z_Hlk20394114"/>
      <w:bookmarkEnd w:id="34"/>
      <w:r>
        <w:rPr>
          <w:rFonts w:ascii="Times New Roman" w:hAnsi="Times New Roman"/>
          <w:color w:val="000000"/>
          <w:sz w:val="20"/>
        </w:rPr>
        <w:t>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xml:space="preserve">          </w:t>
      </w:r>
      <w:r>
        <w:rPr>
          <w:rFonts w:ascii="Times New Roman" w:hAnsi="Times New Roman"/>
          <w:color w:val="000000"/>
          <w:sz w:val="20"/>
          <w:u w:val="single"/>
        </w:rPr>
        <w:t>Loss, Theft, Destruction or Mutilation of Warrant</w:t>
      </w:r>
      <w:r>
        <w:rPr>
          <w:rFonts w:ascii="Times New Roman" w:hAnsi="Times New Roman"/>
          <w:color w:val="000000"/>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xml:space="preserve">           </w:t>
      </w:r>
      <w:r>
        <w:rPr>
          <w:rFonts w:ascii="Times New Roman" w:hAnsi="Times New Roman"/>
          <w:color w:val="000000"/>
          <w:sz w:val="20"/>
          <w:u w:val="single"/>
        </w:rPr>
        <w:t>Saturdays, Sundays, Holidays, etc</w:t>
      </w:r>
      <w:r>
        <w:rPr>
          <w:rFonts w:ascii="Times New Roman" w:hAnsi="Times New Roman"/>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d)</w:t>
      </w:r>
      <w:r>
        <w:rPr>
          <w:rFonts w:ascii="Times New Roman;Times;serif" w:hAnsi="Times New Roman;Times;serif"/>
          <w:color w:val="000000"/>
          <w:sz w:val="20"/>
        </w:rPr>
        <w:t xml:space="preserve">         </w:t>
      </w:r>
      <w:r>
        <w:rPr>
          <w:rFonts w:ascii="Times New Roman" w:hAnsi="Times New Roman"/>
          <w:color w:val="000000"/>
          <w:sz w:val="20"/>
          <w:u w:val="single"/>
        </w:rPr>
        <w:t>Authorized Shares</w:t>
      </w:r>
      <w:r>
        <w:rPr>
          <w:rFonts w:ascii="Times New Roman" w:hAnsi="Times New Roman"/>
          <w:color w:val="000000"/>
          <w:sz w:val="20"/>
        </w:rPr>
        <w:t>.</w:t>
      </w:r>
      <w:r>
        <w:rPr>
          <w:rFonts w:ascii="Times New Roman;Times;serif" w:hAnsi="Times New Roman;Times;serif"/>
          <w:color w:val="000000"/>
          <w:sz w:val="20"/>
        </w:rPr>
        <w:t xml:space="preserve">The Company covenants that, during the period that the Warrant is outstanding, it will reserve and keep available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jc w:val="left"/>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e)</w:t>
      </w:r>
      <w:r>
        <w:rPr>
          <w:rFonts w:ascii="Times New Roman;Times;serif" w:hAnsi="Times New Roman;Times;serif"/>
          <w:color w:val="000000"/>
          <w:sz w:val="20"/>
        </w:rPr>
        <w:t xml:space="preserve">           </w:t>
      </w:r>
      <w:r>
        <w:rPr>
          <w:rFonts w:ascii="Times New Roman" w:hAnsi="Times New Roman"/>
          <w:color w:val="000000"/>
          <w:sz w:val="20"/>
          <w:u w:val="single"/>
        </w:rPr>
        <w:t>Jurisdiction</w:t>
      </w:r>
      <w:r>
        <w:rPr>
          <w:rFonts w:ascii="Times New Roman" w:hAnsi="Times New Roman"/>
          <w:color w:val="000000"/>
          <w:sz w:val="20"/>
        </w:rPr>
        <w:t>. All questions concerning the construction, validity, enforcement and interpretation of this Warrant shall be determined in accordance with the provisions of the Purchase Agreement.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f)</w:t>
      </w:r>
      <w:r>
        <w:rPr>
          <w:rFonts w:ascii="Times New Roman;Times;serif" w:hAnsi="Times New Roman;Times;serif"/>
          <w:color w:val="000000"/>
          <w:sz w:val="20"/>
        </w:rPr>
        <w:t xml:space="preserve">           </w:t>
      </w:r>
      <w:r>
        <w:rPr>
          <w:rFonts w:ascii="Times New Roman" w:hAnsi="Times New Roman"/>
          <w:color w:val="000000"/>
          <w:sz w:val="20"/>
          <w:u w:val="single"/>
        </w:rPr>
        <w:t>Restrictions</w:t>
      </w:r>
      <w:r>
        <w:rPr>
          <w:rFonts w:ascii="Times New Roman" w:hAnsi="Times New Roman"/>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g)</w:t>
      </w:r>
      <w:r>
        <w:rPr>
          <w:rFonts w:ascii="Times New Roman;Times;serif" w:hAnsi="Times New Roman;Times;serif"/>
          <w:color w:val="000000"/>
          <w:sz w:val="20"/>
        </w:rPr>
        <w:t xml:space="preserve">          </w:t>
      </w:r>
      <w:r>
        <w:rPr>
          <w:rFonts w:ascii="Times New Roman" w:hAnsi="Times New Roman"/>
          <w:color w:val="000000"/>
          <w:sz w:val="20"/>
          <w:u w:val="single"/>
        </w:rPr>
        <w:t>Nonwaiver and Expenses</w:t>
      </w:r>
      <w:r>
        <w:rPr>
          <w:rFonts w:ascii="Times New Roman" w:hAnsi="Times New Roman"/>
          <w:color w:val="000000"/>
          <w:sz w:val="20"/>
        </w:rPr>
        <w:t>.  No course of dealing or any delay or failure to exercise any right hereunder on the part of the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h)</w:t>
      </w:r>
      <w:r>
        <w:rPr>
          <w:rFonts w:ascii="Times New Roman;Times;serif" w:hAnsi="Times New Roman;Times;serif"/>
          <w:color w:val="000000"/>
          <w:sz w:val="20"/>
        </w:rPr>
        <w:t>          </w:t>
      </w:r>
      <w:r>
        <w:rPr>
          <w:rFonts w:ascii="Times New Roman" w:hAnsi="Times New Roman"/>
          <w:color w:val="000000"/>
          <w:sz w:val="20"/>
          <w:u w:val="single"/>
        </w:rPr>
        <w:t>Notices</w:t>
      </w:r>
      <w:r>
        <w:rPr>
          <w:rFonts w:ascii="Times New Roman" w:hAnsi="Times New Roman"/>
          <w:color w:val="000000"/>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i)</w:t>
      </w:r>
      <w:r>
        <w:rPr>
          <w:rFonts w:ascii="Times New Roman;Times;serif" w:hAnsi="Times New Roman;Times;serif"/>
          <w:color w:val="000000"/>
          <w:sz w:val="20"/>
        </w:rPr>
        <w:t xml:space="preserve">           </w:t>
      </w:r>
      <w:r>
        <w:rPr>
          <w:rFonts w:ascii="Times New Roman" w:hAnsi="Times New Roman"/>
          <w:color w:val="000000"/>
          <w:sz w:val="20"/>
          <w:u w:val="single"/>
        </w:rPr>
        <w:t>Limitation of Liability</w:t>
      </w:r>
      <w:r>
        <w:rPr>
          <w:rFonts w:ascii="Times New Roman" w:hAnsi="Times New Roman"/>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j)</w:t>
      </w:r>
      <w:r>
        <w:rPr>
          <w:rFonts w:ascii="Times New Roman;Times;serif" w:hAnsi="Times New Roman;Times;serif"/>
          <w:color w:val="000000"/>
          <w:sz w:val="20"/>
        </w:rPr>
        <w:t xml:space="preserve">           </w:t>
      </w:r>
      <w:r>
        <w:rPr>
          <w:rFonts w:ascii="Times New Roman" w:hAnsi="Times New Roman"/>
          <w:color w:val="000000"/>
          <w:sz w:val="20"/>
          <w:u w:val="single"/>
        </w:rPr>
        <w:t>Remedies</w:t>
      </w:r>
      <w:r>
        <w:rPr>
          <w:rFonts w:ascii="Times New Roman" w:hAnsi="Times New Roman"/>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k)</w:t>
      </w:r>
      <w:r>
        <w:rPr>
          <w:rFonts w:ascii="Times New Roman;Times;serif" w:hAnsi="Times New Roman;Times;serif"/>
          <w:color w:val="000000"/>
          <w:sz w:val="20"/>
        </w:rPr>
        <w:t xml:space="preserve">           </w:t>
      </w:r>
      <w:r>
        <w:rPr>
          <w:rFonts w:ascii="Times New Roman" w:hAnsi="Times New Roman"/>
          <w:color w:val="000000"/>
          <w:sz w:val="20"/>
          <w:u w:val="single"/>
        </w:rPr>
        <w:t>Successors and Assigns</w:t>
      </w:r>
      <w:r>
        <w:rPr>
          <w:rFonts w:ascii="Times New Roman" w:hAnsi="Times New Roman"/>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l)</w:t>
      </w:r>
      <w:r>
        <w:rPr>
          <w:rFonts w:ascii="Times New Roman;Times;serif" w:hAnsi="Times New Roman;Times;serif"/>
          <w:color w:val="000000"/>
          <w:sz w:val="20"/>
        </w:rPr>
        <w:t xml:space="preserve">           </w:t>
      </w:r>
      <w:r>
        <w:rPr>
          <w:rFonts w:ascii="Times New Roman" w:hAnsi="Times New Roman"/>
          <w:color w:val="000000"/>
          <w:sz w:val="20"/>
          <w:u w:val="single"/>
        </w:rPr>
        <w:t>Amendment</w:t>
      </w:r>
      <w:r>
        <w:rPr>
          <w:rFonts w:ascii="Times New Roman" w:hAnsi="Times New Roman"/>
          <w:color w:val="000000"/>
          <w:sz w:val="20"/>
        </w:rPr>
        <w:t>.  This Warrant may be modified or amended or the provisions hereof waived with the written consent of the Company and the Holder (or the beneficial owner of this Warrant).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m)</w:t>
      </w:r>
      <w:r>
        <w:rPr>
          <w:rFonts w:ascii="Times New Roman;Times;serif" w:hAnsi="Times New Roman;Times;serif"/>
          <w:color w:val="000000"/>
          <w:sz w:val="20"/>
        </w:rPr>
        <w:t xml:space="preserve">         </w:t>
      </w:r>
      <w:r>
        <w:rPr>
          <w:rFonts w:ascii="Times New Roman" w:hAnsi="Times New Roman"/>
          <w:color w:val="000000"/>
          <w:sz w:val="20"/>
          <w:u w:val="single"/>
        </w:rPr>
        <w:t>Severability</w:t>
      </w:r>
      <w:r>
        <w:rPr>
          <w:rFonts w:ascii="Times New Roman" w:hAnsi="Times New Roman"/>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n)</w:t>
      </w:r>
      <w:r>
        <w:rPr>
          <w:rFonts w:ascii="Times New Roman;Times;serif" w:hAnsi="Times New Roman;Times;serif"/>
          <w:color w:val="000000"/>
          <w:sz w:val="20"/>
        </w:rPr>
        <w:t xml:space="preserve">           </w:t>
      </w:r>
      <w:r>
        <w:rPr>
          <w:rFonts w:ascii="Times New Roman" w:hAnsi="Times New Roman"/>
          <w:color w:val="000000"/>
          <w:sz w:val="20"/>
          <w:u w:val="single"/>
        </w:rPr>
        <w:t>Headings</w:t>
      </w:r>
      <w:r>
        <w:rPr>
          <w:rFonts w:ascii="Times New Roman" w:hAnsi="Times New Roman"/>
          <w:color w:val="000000"/>
          <w:sz w:val="20"/>
        </w:rPr>
        <w:t>.  The headings used in this Warrant are for the convenience of reference only and shall not, for any purpose, be deemed a part of this Warrant.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spacing w:before="0" w:after="0"/>
        <w:jc w:val="center"/>
        <w:rPr>
          <w:rFonts w:ascii="Times New Roman" w:hAnsi="Times New Roman"/>
          <w:i/>
          <w:sz w:val="20"/>
        </w:rPr>
      </w:pPr>
      <w:r>
        <w:rPr>
          <w:rFonts w:ascii="Times New Roman" w:hAnsi="Times New Roman"/>
          <w:i/>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 WITNESS WHEREOF, the Company has caused this Warrant to be executed by its officer thereunto duly authorized as of the date first above indicated.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5" w:name="zb124bba3f7264f86801e006f2a8cb15f"/>
      <w:bookmarkStart w:id="36" w:name="zb124bba3f7264f86801e006f2a8cb15f"/>
      <w:bookmarkEnd w:id="36"/>
    </w:p>
    <w:tbl>
      <w:tblPr>
        <w:tblW w:w="3732" w:type="dxa"/>
        <w:jc w:val="left"/>
        <w:tblInd w:w="0" w:type="dxa"/>
        <w:tblLayout w:type="fixed"/>
        <w:tblCellMar>
          <w:top w:w="0" w:type="dxa"/>
          <w:left w:w="0" w:type="dxa"/>
          <w:bottom w:w="0" w:type="dxa"/>
          <w:right w:w="0" w:type="dxa"/>
        </w:tblCellMar>
      </w:tblPr>
      <w:tblGrid>
        <w:gridCol w:w="23"/>
        <w:gridCol w:w="1292"/>
        <w:gridCol w:w="2417"/>
      </w:tblGrid>
      <w:tr>
        <w:trPr/>
        <w:tc>
          <w:tcPr>
            <w:tcW w:w="23" w:type="dxa"/>
            <w:tcBorders/>
            <w:vAlign w:val="center"/>
          </w:tcPr>
          <w:p>
            <w:pPr>
              <w:pStyle w:val="TableContents"/>
              <w:bidi w:val="0"/>
              <w:spacing w:before="0" w:after="283"/>
              <w:jc w:val="left"/>
              <w:rPr/>
            </w:pPr>
            <w:r>
              <w:rPr/>
            </w:r>
          </w:p>
        </w:tc>
        <w:tc>
          <w:tcPr>
            <w:tcW w:w="370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NEIGHBORHOOD INTELLIGENCE, INC.</w:t>
            </w:r>
          </w:p>
        </w:tc>
      </w:tr>
      <w:tr>
        <w:trPr/>
        <w:tc>
          <w:tcPr>
            <w:tcW w:w="23" w:type="dxa"/>
            <w:tcBorders/>
            <w:vAlign w:val="center"/>
          </w:tcPr>
          <w:p>
            <w:pPr>
              <w:pStyle w:val="TableContents"/>
              <w:bidi w:val="0"/>
              <w:spacing w:before="0" w:after="283"/>
              <w:jc w:val="left"/>
              <w:rPr/>
            </w:pPr>
            <w:r>
              <w:rPr/>
            </w:r>
          </w:p>
        </w:tc>
        <w:tc>
          <w:tcPr>
            <w:tcW w:w="1292" w:type="dxa"/>
            <w:tcBorders/>
            <w:vAlign w:val="center"/>
          </w:tcPr>
          <w:p>
            <w:pPr>
              <w:pStyle w:val="TableContents"/>
              <w:bidi w:val="0"/>
              <w:spacing w:before="0" w:after="283"/>
              <w:jc w:val="left"/>
              <w:rPr/>
            </w:pPr>
            <w:r>
              <w:rPr/>
            </w:r>
          </w:p>
        </w:tc>
        <w:tc>
          <w:tcPr>
            <w:tcW w:w="2417"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292" w:type="dxa"/>
            <w:tcBorders/>
            <w:vAlign w:val="center"/>
          </w:tcPr>
          <w:p>
            <w:pPr>
              <w:pStyle w:val="TableContents"/>
              <w:bidi w:val="0"/>
              <w:spacing w:before="0" w:after="283"/>
              <w:jc w:val="left"/>
              <w:rPr/>
            </w:pPr>
            <w:r>
              <w:rPr/>
            </w:r>
          </w:p>
        </w:tc>
        <w:tc>
          <w:tcPr>
            <w:tcW w:w="2417"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2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417"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292" w:type="dxa"/>
            <w:tcBorders/>
            <w:vAlign w:val="center"/>
          </w:tcPr>
          <w:p>
            <w:pPr>
              <w:pStyle w:val="TableContents"/>
              <w:bidi w:val="0"/>
              <w:spacing w:before="0" w:after="283"/>
              <w:jc w:val="left"/>
              <w:rPr/>
            </w:pPr>
            <w:r>
              <w:rPr/>
            </w:r>
          </w:p>
        </w:tc>
        <w:tc>
          <w:tcPr>
            <w:tcW w:w="24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23" w:type="dxa"/>
            <w:tcBorders/>
            <w:vAlign w:val="center"/>
          </w:tcPr>
          <w:p>
            <w:pPr>
              <w:pStyle w:val="TableContents"/>
              <w:bidi w:val="0"/>
              <w:spacing w:before="0" w:after="283"/>
              <w:jc w:val="left"/>
              <w:rPr/>
            </w:pPr>
            <w:r>
              <w:rPr/>
            </w:r>
          </w:p>
        </w:tc>
        <w:tc>
          <w:tcPr>
            <w:tcW w:w="1292" w:type="dxa"/>
            <w:tcBorders/>
            <w:vAlign w:val="center"/>
          </w:tcPr>
          <w:p>
            <w:pPr>
              <w:pStyle w:val="TableContents"/>
              <w:bidi w:val="0"/>
              <w:spacing w:before="0" w:after="283"/>
              <w:jc w:val="left"/>
              <w:rPr/>
            </w:pPr>
            <w:r>
              <w:rPr/>
            </w:r>
          </w:p>
        </w:tc>
        <w:tc>
          <w:tcPr>
            <w:tcW w:w="24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NOTICE OF EXERCISE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7" w:name="z0361a3cc5cea4730942c156c9fa67918"/>
      <w:bookmarkStart w:id="38" w:name="z0361a3cc5cea4730942c156c9fa67918"/>
      <w:bookmarkEnd w:id="38"/>
    </w:p>
    <w:tbl>
      <w:tblPr>
        <w:tblW w:w="3805" w:type="dxa"/>
        <w:jc w:val="left"/>
        <w:tblInd w:w="0" w:type="dxa"/>
        <w:tblLayout w:type="fixed"/>
        <w:tblCellMar>
          <w:top w:w="0" w:type="dxa"/>
          <w:left w:w="0" w:type="dxa"/>
          <w:bottom w:w="0" w:type="dxa"/>
          <w:right w:w="0" w:type="dxa"/>
        </w:tblCellMar>
      </w:tblPr>
      <w:tblGrid>
        <w:gridCol w:w="350"/>
        <w:gridCol w:w="3455"/>
      </w:tblGrid>
      <w:tr>
        <w:trPr/>
        <w:tc>
          <w:tcPr>
            <w:tcW w:w="3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TO:</w:t>
            </w:r>
          </w:p>
        </w:tc>
        <w:tc>
          <w:tcPr>
            <w:tcW w:w="3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NEIGHBORHOOD INTELLIGENCE, INC.</w:t>
            </w:r>
          </w:p>
        </w:tc>
      </w:tr>
    </w:tbl>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 w:hAnsi="Times New Roman"/>
          <w:color w:val="000000"/>
          <w:sz w:val="20"/>
        </w:rPr>
        <w:t>(1)</w:t>
      </w:r>
      <w:r>
        <w:rPr>
          <w:rFonts w:ascii="Times New Roman;Times;serif" w:hAnsi="Times New Roman;Times;serif"/>
          <w:color w:val="000000"/>
          <w:sz w:val="20"/>
        </w:rPr>
        <w:t xml:space="preserve">        </w:t>
      </w:r>
      <w:r>
        <w:rPr>
          <w:rFonts w:ascii="Times New Roman" w:hAnsi="Times New Roman"/>
          <w:color w:val="000000"/>
          <w:sz w:val="20"/>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Times;serif" w:hAnsi="Times New Roman;Times;serif"/>
          <w:color w:val="000000"/>
          <w:sz w:val="20"/>
        </w:rPr>
      </w:pPr>
      <w:r>
        <w:rPr>
          <w:rFonts w:ascii="Times New Roman" w:hAnsi="Times New Roman"/>
          <w:color w:val="000000"/>
          <w:sz w:val="20"/>
        </w:rPr>
        <w:t>(2)</w:t>
      </w:r>
      <w:r>
        <w:rPr>
          <w:rFonts w:ascii="Times New Roman;Times;serif" w:hAnsi="Times New Roman;Times;serif"/>
          <w:color w:val="000000"/>
          <w:sz w:val="20"/>
        </w:rPr>
        <w:t xml:space="preserve">         </w:t>
      </w:r>
      <w:r>
        <w:rPr>
          <w:rFonts w:ascii="Times New Roman" w:hAnsi="Times New Roman"/>
          <w:color w:val="000000"/>
          <w:sz w:val="20"/>
        </w:rPr>
        <w:t>Payment shall take the form of (check applicable box):</w:t>
      </w:r>
    </w:p>
    <w:p>
      <w:pPr>
        <w:pStyle w:val="TextBody"/>
        <w:bidi w:val="0"/>
        <w:spacing w:before="0" w:after="0"/>
        <w:jc w:val="left"/>
        <w:rPr>
          <w:color w:val="000000"/>
        </w:rPr>
      </w:pPr>
      <w:r>
        <w:rPr>
          <w:color w:val="000000"/>
        </w:rPr>
        <w:t xml:space="preserve">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_____    [  ] in lawful money of the United States; or</w:t>
      </w:r>
    </w:p>
    <w:p>
      <w:pPr>
        <w:pStyle w:val="TextBody"/>
        <w:bidi w:val="0"/>
        <w:spacing w:before="0" w:after="0"/>
        <w:ind w:left="1440" w:right="0" w:hanging="0"/>
        <w:jc w:val="left"/>
        <w:rPr>
          <w:rFonts w:ascii="Times New Roman" w:hAnsi="Times New Roman"/>
        </w:rPr>
      </w:pPr>
      <w:r>
        <w:rPr>
          <w:rFonts w:ascii="Times New Roman" w:hAnsi="Times New Roman"/>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_____    [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jc w:val="left"/>
        <w:rPr>
          <w:sz w:val="20"/>
        </w:rPr>
      </w:pPr>
      <w:r>
        <w:rPr>
          <w:sz w:val="20"/>
        </w:rPr>
      </w:r>
    </w:p>
    <w:p>
      <w:pPr>
        <w:pStyle w:val="TextBody"/>
        <w:bidi w:val="0"/>
        <w:spacing w:before="0" w:after="0"/>
        <w:ind w:left="0" w:right="0" w:firstLine="1440"/>
        <w:jc w:val="left"/>
        <w:rPr>
          <w:rFonts w:ascii="Times New Roman;Times;serif" w:hAnsi="Times New Roman;Times;serif"/>
          <w:color w:val="000000"/>
          <w:sz w:val="20"/>
        </w:rPr>
      </w:pPr>
      <w:r>
        <w:rPr>
          <w:rFonts w:ascii="Times New Roman" w:hAnsi="Times New Roman"/>
          <w:color w:val="000000"/>
          <w:sz w:val="20"/>
        </w:rPr>
        <w:t>(3)</w:t>
      </w:r>
      <w:r>
        <w:rPr>
          <w:rFonts w:ascii="Times New Roman;Times;serif" w:hAnsi="Times New Roman;Times;serif"/>
          <w:color w:val="000000"/>
          <w:sz w:val="20"/>
        </w:rPr>
        <w:t>          </w:t>
      </w:r>
      <w:r>
        <w:rPr>
          <w:rFonts w:ascii="Times New Roman" w:hAnsi="Times New Roman"/>
          <w:color w:val="000000"/>
          <w:sz w:val="20"/>
        </w:rPr>
        <w:t>Please issue said Warrant Shares in the name of the undersigned or in such other name as is specified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9" w:name="z5b1cadee3bd14da2a294b9dd137af01a"/>
      <w:bookmarkStart w:id="40" w:name="z5b1cadee3bd14da2a294b9dd137af01a"/>
      <w:bookmarkEnd w:id="40"/>
    </w:p>
    <w:tbl>
      <w:tblPr>
        <w:tblW w:w="99" w:type="dxa"/>
        <w:jc w:val="left"/>
        <w:tblInd w:w="0" w:type="dxa"/>
        <w:tblLayout w:type="fixed"/>
        <w:tblCellMar>
          <w:top w:w="0" w:type="dxa"/>
          <w:left w:w="0" w:type="dxa"/>
          <w:bottom w:w="0" w:type="dxa"/>
          <w:right w:w="0" w:type="dxa"/>
        </w:tblCellMar>
      </w:tblPr>
      <w:tblGrid>
        <w:gridCol w:w="38"/>
        <w:gridCol w:w="23"/>
        <w:gridCol w:w="38"/>
      </w:tblGrid>
      <w:tr>
        <w:trPr/>
        <w:tc>
          <w:tcPr>
            <w:tcW w:w="38"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38" w:type="dxa"/>
            <w:tcBorders/>
            <w:vAlign w:val="center"/>
          </w:tcPr>
          <w:p>
            <w:pPr>
              <w:pStyle w:val="TableContents"/>
              <w:bidi w:val="0"/>
              <w:spacing w:before="0" w:after="283"/>
              <w:jc w:val="left"/>
              <w:rPr/>
            </w:pPr>
            <w:r>
              <w:rPr/>
            </w:r>
          </w:p>
        </w:tc>
      </w:tr>
      <w:tr>
        <w:trPr/>
        <w:tc>
          <w:tcPr>
            <w:tcW w:w="38"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8"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Warrant Shares shall be delivered to the following DWAC Account Number:</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1" w:name="zbba9557b9cfd4c6c920b8c372ef1068d"/>
      <w:bookmarkStart w:id="42" w:name="zbba9557b9cfd4c6c920b8c372ef1068d"/>
      <w:bookmarkEnd w:id="42"/>
    </w:p>
    <w:tbl>
      <w:tblPr>
        <w:tblW w:w="69" w:type="dxa"/>
        <w:jc w:val="left"/>
        <w:tblInd w:w="0" w:type="dxa"/>
        <w:tblLayout w:type="fixed"/>
        <w:tblCellMar>
          <w:top w:w="0" w:type="dxa"/>
          <w:left w:w="0" w:type="dxa"/>
          <w:bottom w:w="0" w:type="dxa"/>
          <w:right w:w="0" w:type="dxa"/>
        </w:tblCellMar>
      </w:tblPr>
      <w:tblGrid>
        <w:gridCol w:w="23"/>
        <w:gridCol w:w="23"/>
        <w:gridCol w:w="23"/>
      </w:tblGrid>
      <w:tr>
        <w:trPr/>
        <w:tc>
          <w:tcPr>
            <w:tcW w:w="23"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[SIGNATURE OF HOLDER]</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3" w:name="ze27657241b1a4ee1b3bfb8589d6bf77d"/>
      <w:bookmarkStart w:id="44" w:name="ze27657241b1a4ee1b3bfb8589d6bf77d"/>
      <w:bookmarkEnd w:id="44"/>
    </w:p>
    <w:tbl>
      <w:tblPr>
        <w:tblW w:w="2210" w:type="dxa"/>
        <w:jc w:val="left"/>
        <w:tblInd w:w="0" w:type="dxa"/>
        <w:tblLayout w:type="fixed"/>
        <w:tblCellMar>
          <w:top w:w="0" w:type="dxa"/>
          <w:left w:w="0" w:type="dxa"/>
          <w:bottom w:w="0" w:type="dxa"/>
          <w:right w:w="0" w:type="dxa"/>
        </w:tblCellMar>
      </w:tblPr>
      <w:tblGrid>
        <w:gridCol w:w="2135"/>
        <w:gridCol w:w="75"/>
      </w:tblGrid>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of Investing Entity: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45" w:name="z2fc12ac295b5439eb71005f922864b55"/>
      <w:bookmarkStart w:id="46" w:name="z2fc12ac295b5439eb71005f922864b55"/>
      <w:bookmarkEnd w:id="46"/>
    </w:p>
    <w:tbl>
      <w:tblPr>
        <w:tblW w:w="4505" w:type="dxa"/>
        <w:jc w:val="left"/>
        <w:tblInd w:w="0" w:type="dxa"/>
        <w:tblLayout w:type="fixed"/>
        <w:tblCellMar>
          <w:top w:w="0" w:type="dxa"/>
          <w:left w:w="0" w:type="dxa"/>
          <w:bottom w:w="0" w:type="dxa"/>
          <w:right w:w="0" w:type="dxa"/>
        </w:tblCellMar>
      </w:tblPr>
      <w:tblGrid>
        <w:gridCol w:w="4445"/>
        <w:gridCol w:w="60"/>
      </w:tblGrid>
      <w:tr>
        <w:trPr/>
        <w:tc>
          <w:tcPr>
            <w:tcW w:w="4445" w:type="dxa"/>
            <w:tcBorders/>
            <w:vAlign w:val="center"/>
          </w:tcPr>
          <w:p>
            <w:pPr>
              <w:pStyle w:val="TableContents"/>
              <w:bidi w:val="0"/>
              <w:spacing w:before="0" w:after="0"/>
              <w:jc w:val="left"/>
              <w:rPr>
                <w:rFonts w:ascii="Times New Roman" w:hAnsi="Times New Roman"/>
                <w:sz w:val="24"/>
              </w:rPr>
            </w:pPr>
            <w:r>
              <w:rPr>
                <w:rFonts w:ascii="Times New Roman" w:hAnsi="Times New Roman"/>
                <w:i/>
                <w:sz w:val="20"/>
              </w:rPr>
              <w:t>Signature of Authorized Signatory of Investing Entity</w:t>
            </w:r>
            <w:r>
              <w:rPr>
                <w:rFonts w:ascii="Times New Roman" w:hAnsi="Times New Roman"/>
                <w:sz w:val="20"/>
              </w:rPr>
              <w:t>:</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47" w:name="z2533b9d4444a43c4b9618c2681c3e7da"/>
      <w:bookmarkStart w:id="48" w:name="z2533b9d4444a43c4b9618c2681c3e7da"/>
      <w:bookmarkEnd w:id="48"/>
    </w:p>
    <w:tbl>
      <w:tblPr>
        <w:tblW w:w="2645" w:type="dxa"/>
        <w:jc w:val="left"/>
        <w:tblInd w:w="0" w:type="dxa"/>
        <w:tblLayout w:type="fixed"/>
        <w:tblCellMar>
          <w:top w:w="0" w:type="dxa"/>
          <w:left w:w="0" w:type="dxa"/>
          <w:bottom w:w="0" w:type="dxa"/>
          <w:right w:w="0" w:type="dxa"/>
        </w:tblCellMar>
      </w:tblPr>
      <w:tblGrid>
        <w:gridCol w:w="2570"/>
        <w:gridCol w:w="75"/>
      </w:tblGrid>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of Authorized Signatory: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49" w:name="z9a2fdc436e944fb98522c9c4139cb2fa"/>
      <w:bookmarkStart w:id="50" w:name="z9a2fdc436e944fb98522c9c4139cb2fa"/>
      <w:bookmarkEnd w:id="50"/>
    </w:p>
    <w:tbl>
      <w:tblPr>
        <w:tblW w:w="2540" w:type="dxa"/>
        <w:jc w:val="left"/>
        <w:tblInd w:w="0" w:type="dxa"/>
        <w:tblLayout w:type="fixed"/>
        <w:tblCellMar>
          <w:top w:w="0" w:type="dxa"/>
          <w:left w:w="0" w:type="dxa"/>
          <w:bottom w:w="0" w:type="dxa"/>
          <w:right w:w="0" w:type="dxa"/>
        </w:tblCellMar>
      </w:tblPr>
      <w:tblGrid>
        <w:gridCol w:w="2480"/>
        <w:gridCol w:w="60"/>
      </w:tblGrid>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of Authorized Signatory: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51" w:name="zd52a4b8be99b4ec38adf3c7b6aaa68a2"/>
      <w:bookmarkStart w:id="52" w:name="zd52a4b8be99b4ec38adf3c7b6aaa68a2"/>
      <w:bookmarkEnd w:id="52"/>
    </w:p>
    <w:tbl>
      <w:tblPr>
        <w:tblW w:w="515" w:type="dxa"/>
        <w:jc w:val="left"/>
        <w:tblInd w:w="0" w:type="dxa"/>
        <w:tblLayout w:type="fixed"/>
        <w:tblCellMar>
          <w:top w:w="0" w:type="dxa"/>
          <w:left w:w="0" w:type="dxa"/>
          <w:bottom w:w="0" w:type="dxa"/>
          <w:right w:w="0" w:type="dxa"/>
        </w:tblCellMar>
      </w:tblPr>
      <w:tblGrid>
        <w:gridCol w:w="455"/>
        <w:gridCol w:w="60"/>
      </w:tblGrid>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B</w:t>
      </w:r>
    </w:p>
    <w:p>
      <w:pPr>
        <w:pStyle w:val="TextBody"/>
        <w:bidi w:val="0"/>
        <w:spacing w:before="0" w:after="0"/>
        <w:jc w:val="both"/>
        <w:rPr>
          <w:sz w:val="20"/>
        </w:rPr>
      </w:pPr>
      <w:r>
        <w:rPr>
          <w:sz w:val="20"/>
        </w:rPr>
      </w:r>
      <w:bookmarkStart w:id="53" w:name="z_DV_M89"/>
      <w:bookmarkStart w:id="54" w:name="z_DV_M89"/>
      <w:bookmarkEnd w:id="54"/>
    </w:p>
    <w:p>
      <w:pPr>
        <w:pStyle w:val="TextBody"/>
        <w:bidi w:val="0"/>
        <w:spacing w:before="0" w:after="0"/>
        <w:jc w:val="center"/>
        <w:rPr>
          <w:rFonts w:ascii="Times New Roman" w:hAnsi="Times New Roman"/>
          <w:color w:val="000000"/>
          <w:sz w:val="20"/>
        </w:rPr>
      </w:pPr>
      <w:bookmarkStart w:id="55" w:name="z_DV_M161"/>
      <w:bookmarkEnd w:id="55"/>
      <w:r>
        <w:rPr>
          <w:rFonts w:ascii="Times New Roman" w:hAnsi="Times New Roman"/>
          <w:color w:val="000000"/>
          <w:sz w:val="20"/>
        </w:rPr>
        <w:t>ASSIGNMENT FORM</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210"/>
        <w:jc w:val="both"/>
        <w:rPr>
          <w:color w:val="000000"/>
        </w:rPr>
      </w:pPr>
      <w:bookmarkStart w:id="56" w:name="z_DV_M162"/>
      <w:bookmarkEnd w:id="56"/>
      <w:r>
        <w:rPr>
          <w:color w:val="000000"/>
        </w:rPr>
        <w:t> </w:t>
      </w:r>
      <w:r>
        <w:rPr>
          <w:rFonts w:ascii="Times New Roman" w:hAnsi="Times New Roman"/>
          <w:i/>
          <w:color w:val="000000"/>
          <w:sz w:val="20"/>
        </w:rPr>
        <w:t>(To assign the foregoing Warrant, execute this form and supply required information.  Do not use this form to purchase shares.)</w:t>
      </w:r>
    </w:p>
    <w:p>
      <w:pPr>
        <w:pStyle w:val="TextBody"/>
        <w:bidi w:val="0"/>
        <w:spacing w:before="0" w:after="0"/>
        <w:jc w:val="left"/>
        <w:rPr>
          <w:color w:val="000000"/>
        </w:rPr>
      </w:pPr>
      <w:r>
        <w:rPr>
          <w:color w:val="000000"/>
        </w:rPr>
        <w:t> </w:t>
      </w:r>
    </w:p>
    <w:p>
      <w:pPr>
        <w:pStyle w:val="TextBody"/>
        <w:bidi w:val="0"/>
        <w:spacing w:before="0" w:after="0"/>
        <w:ind w:left="0" w:right="0" w:firstLine="210"/>
        <w:jc w:val="both"/>
        <w:rPr>
          <w:rFonts w:ascii="Times New Roman" w:hAnsi="Times New Roman"/>
          <w:color w:val="000000"/>
          <w:sz w:val="20"/>
        </w:rPr>
      </w:pPr>
      <w:bookmarkStart w:id="57" w:name="z_DV_M163"/>
      <w:bookmarkEnd w:id="57"/>
      <w:r>
        <w:rPr>
          <w:rFonts w:ascii="Times New Roman" w:hAnsi="Times New Roman"/>
          <w:color w:val="000000"/>
          <w:sz w:val="20"/>
        </w:rPr>
        <w:t>FOR VALUE RECEIVED, the foregoing Warrant and all rights evidenced thereby are hereby assigned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 w:name="z6e1f6a25ab794f988465a08419de9fbd"/>
      <w:bookmarkStart w:id="59" w:name="z6e1f6a25ab794f988465a08419de9fbd"/>
      <w:bookmarkEnd w:id="59"/>
    </w:p>
    <w:tbl>
      <w:tblPr>
        <w:tblW w:w="2395" w:type="dxa"/>
        <w:jc w:val="left"/>
        <w:tblInd w:w="0" w:type="dxa"/>
        <w:tblLayout w:type="fixed"/>
        <w:tblCellMar>
          <w:top w:w="0" w:type="dxa"/>
          <w:left w:w="0" w:type="dxa"/>
          <w:bottom w:w="0" w:type="dxa"/>
          <w:right w:w="0" w:type="dxa"/>
        </w:tblCellMar>
      </w:tblPr>
      <w:tblGrid>
        <w:gridCol w:w="1295"/>
        <w:gridCol w:w="1100"/>
      </w:tblGrid>
      <w:tr>
        <w:trPr/>
        <w:tc>
          <w:tcPr>
            <w:tcW w:w="1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Name:</w:t>
            </w:r>
          </w:p>
        </w:tc>
        <w:tc>
          <w:tcPr>
            <w:tcW w:w="110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(Please Print)</w:t>
            </w:r>
          </w:p>
        </w:tc>
      </w:tr>
      <w:tr>
        <w:trPr/>
        <w:tc>
          <w:tcPr>
            <w:tcW w:w="1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Address:</w:t>
            </w:r>
          </w:p>
        </w:tc>
        <w:tc>
          <w:tcPr>
            <w:tcW w:w="110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(Please Print)</w:t>
            </w:r>
            <w:bookmarkStart w:id="60" w:name="z_DV_C130"/>
            <w:bookmarkStart w:id="61" w:name="z_DV_C131"/>
            <w:bookmarkEnd w:id="60"/>
            <w:bookmarkEnd w:id="61"/>
          </w:p>
        </w:tc>
      </w:tr>
      <w:tr>
        <w:trPr/>
        <w:tc>
          <w:tcPr>
            <w:tcW w:w="1295"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0"/>
              <w:jc w:val="both"/>
              <w:rPr>
                <w:rFonts w:ascii="Times New Roman" w:hAnsi="Times New Roman"/>
                <w:sz w:val="20"/>
              </w:rPr>
            </w:pPr>
            <w:bookmarkStart w:id="62" w:name="z_DV_C128"/>
            <w:bookmarkEnd w:id="62"/>
            <w:r>
              <w:rPr>
                <w:rFonts w:ascii="Times New Roman" w:hAnsi="Times New Roman"/>
                <w:sz w:val="20"/>
              </w:rPr>
              <w:t>Phone Number:</w:t>
            </w:r>
          </w:p>
        </w:tc>
        <w:tc>
          <w:tcPr>
            <w:tcW w:w="110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0"/>
              <w:jc w:val="both"/>
              <w:rPr>
                <w:rFonts w:ascii="Times New Roman" w:hAnsi="Times New Roman"/>
                <w:sz w:val="20"/>
              </w:rPr>
            </w:pPr>
            <w:bookmarkStart w:id="63" w:name="z_DV_C129"/>
            <w:bookmarkEnd w:id="63"/>
            <w:r>
              <w:rPr>
                <w:rFonts w:ascii="Times New Roman" w:hAnsi="Times New Roman"/>
                <w:sz w:val="20"/>
              </w:rPr>
              <w:t>Email Address:</w:t>
            </w:r>
          </w:p>
        </w:tc>
        <w:tc>
          <w:tcPr>
            <w:tcW w:w="110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64" w:name="z6be306059a294d969a650951a5588036"/>
      <w:bookmarkStart w:id="65" w:name="z6be306059a294d969a650951a5588036"/>
      <w:bookmarkEnd w:id="65"/>
    </w:p>
    <w:tbl>
      <w:tblPr>
        <w:tblW w:w="680" w:type="dxa"/>
        <w:jc w:val="left"/>
        <w:tblInd w:w="0" w:type="dxa"/>
        <w:tblLayout w:type="fixed"/>
        <w:tblCellMar>
          <w:top w:w="0" w:type="dxa"/>
          <w:left w:w="0" w:type="dxa"/>
          <w:bottom w:w="0" w:type="dxa"/>
          <w:right w:w="0" w:type="dxa"/>
        </w:tblCellMar>
      </w:tblPr>
      <w:tblGrid>
        <w:gridCol w:w="560"/>
        <w:gridCol w:w="60"/>
        <w:gridCol w:w="60"/>
      </w:tblGrid>
      <w:tr>
        <w:trPr/>
        <w:tc>
          <w:tcPr>
            <w:tcW w:w="56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66" w:name="zc95cee20f372478faa98df33cd5468e0"/>
      <w:bookmarkStart w:id="67" w:name="zc95cee20f372478faa98df33cd5468e0"/>
      <w:bookmarkEnd w:id="67"/>
    </w:p>
    <w:tbl>
      <w:tblPr>
        <w:tblW w:w="1715" w:type="dxa"/>
        <w:jc w:val="left"/>
        <w:tblInd w:w="0" w:type="dxa"/>
        <w:tblLayout w:type="fixed"/>
        <w:tblCellMar>
          <w:top w:w="0" w:type="dxa"/>
          <w:left w:w="0" w:type="dxa"/>
          <w:bottom w:w="0" w:type="dxa"/>
          <w:right w:w="0" w:type="dxa"/>
        </w:tblCellMar>
      </w:tblPr>
      <w:tblGrid>
        <w:gridCol w:w="1595"/>
        <w:gridCol w:w="60"/>
        <w:gridCol w:w="60"/>
      </w:tblGrid>
      <w:tr>
        <w:trPr/>
        <w:tc>
          <w:tcPr>
            <w:tcW w:w="15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Holder’s Signature:</w:t>
            </w:r>
          </w:p>
        </w:tc>
        <w:tc>
          <w:tcPr>
            <w:tcW w:w="60"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68" w:name="za9af7709aeae41c6970c8660398d8fbc"/>
      <w:bookmarkStart w:id="69" w:name="za9af7709aeae41c6970c8660398d8fbc"/>
      <w:bookmarkEnd w:id="69"/>
    </w:p>
    <w:tbl>
      <w:tblPr>
        <w:tblW w:w="1536" w:type="dxa"/>
        <w:jc w:val="left"/>
        <w:tblInd w:w="0" w:type="dxa"/>
        <w:tblLayout w:type="fixed"/>
        <w:tblCellMar>
          <w:top w:w="0" w:type="dxa"/>
          <w:left w:w="0" w:type="dxa"/>
          <w:bottom w:w="0" w:type="dxa"/>
          <w:right w:w="0" w:type="dxa"/>
        </w:tblCellMar>
      </w:tblPr>
      <w:tblGrid>
        <w:gridCol w:w="1475"/>
        <w:gridCol w:w="23"/>
        <w:gridCol w:w="38"/>
      </w:tblGrid>
      <w:tr>
        <w:trPr/>
        <w:tc>
          <w:tcPr>
            <w:tcW w:w="147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Holder’s Address:</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38"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0" w:name="ef20083313_ex4-2.htm"/>
      <w:bookmarkStart w:id="71" w:name="ksef20083313_ex42"/>
      <w:bookmarkStart w:id="72" w:name="ef20083313_ex4-2.htm"/>
      <w:bookmarkStart w:id="73" w:name="ksef20083313_ex42"/>
      <w:bookmarkEnd w:id="72"/>
      <w:bookmarkEnd w:id="7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4.2</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PREFUNDED COMMON STOCK PURCHASE WARRANT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NEIGHBORHOOD INTELLIGENCE, INC.</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4" w:name="z9b11068fc86e4eb68dacc9df2bcbc37f"/>
      <w:bookmarkStart w:id="75" w:name="z9b11068fc86e4eb68dacc9df2bcbc37f"/>
      <w:bookmarkEnd w:id="75"/>
    </w:p>
    <w:tbl>
      <w:tblPr>
        <w:tblW w:w="4015" w:type="dxa"/>
        <w:jc w:val="left"/>
        <w:tblInd w:w="0" w:type="dxa"/>
        <w:tblLayout w:type="fixed"/>
        <w:tblCellMar>
          <w:top w:w="0" w:type="dxa"/>
          <w:left w:w="0" w:type="dxa"/>
          <w:bottom w:w="0" w:type="dxa"/>
          <w:right w:w="0" w:type="dxa"/>
        </w:tblCellMar>
      </w:tblPr>
      <w:tblGrid>
        <w:gridCol w:w="1535"/>
        <w:gridCol w:w="2480"/>
      </w:tblGrid>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Shares: [•]</w:t>
            </w:r>
          </w:p>
        </w:tc>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Initial Exercise Date: [•], 2026</w:t>
            </w:r>
          </w:p>
        </w:tc>
      </w:tr>
    </w:tbl>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THIS PREFUNDED COMMON STOCK PURCHASE WARRANT (the “</w:t>
      </w:r>
      <w:r>
        <w:rPr>
          <w:rFonts w:ascii="Times New Roman" w:hAnsi="Times New Roman"/>
          <w:color w:val="000000"/>
          <w:sz w:val="20"/>
          <w:u w:val="single"/>
        </w:rPr>
        <w:t>Warrant</w:t>
      </w:r>
      <w:r>
        <w:rPr>
          <w:rFonts w:ascii="Times New Roman" w:hAnsi="Times New Roman"/>
          <w:color w:val="000000"/>
          <w:sz w:val="20"/>
        </w:rPr>
        <w:t>”) certifies that, for value received, _____________ or its assigns (the “</w:t>
      </w:r>
      <w:r>
        <w:rPr>
          <w:rFonts w:ascii="Times New Roman" w:hAnsi="Times New Roman"/>
          <w:color w:val="000000"/>
          <w:sz w:val="20"/>
          <w:u w:val="single"/>
        </w:rPr>
        <w:t>Holder</w:t>
      </w:r>
      <w:r>
        <w:rPr>
          <w:rFonts w:ascii="Times New Roman" w:hAnsi="Times New Roman"/>
          <w:color w:val="000000"/>
          <w:sz w:val="20"/>
        </w:rPr>
        <w:t>”) is entitled, upon the terms and subject to the limitations on exercise and the conditions hereinafter set forth, at any time on or after the date hereof (the “</w:t>
      </w:r>
      <w:r>
        <w:rPr>
          <w:rFonts w:ascii="Times New Roman" w:hAnsi="Times New Roman"/>
          <w:color w:val="000000"/>
          <w:sz w:val="20"/>
          <w:u w:val="single"/>
        </w:rPr>
        <w:t>Initial Exercise Date</w:t>
      </w:r>
      <w:r>
        <w:rPr>
          <w:rFonts w:ascii="Times New Roman" w:hAnsi="Times New Roman"/>
          <w:color w:val="000000"/>
          <w:sz w:val="20"/>
        </w:rPr>
        <w:t>”) and until this Warrant is exercised in full (the “</w:t>
      </w:r>
      <w:r>
        <w:rPr>
          <w:rFonts w:ascii="Times New Roman" w:hAnsi="Times New Roman"/>
          <w:color w:val="000000"/>
          <w:sz w:val="20"/>
          <w:u w:val="single"/>
        </w:rPr>
        <w:t>Termination Date</w:t>
      </w:r>
      <w:r>
        <w:rPr>
          <w:rFonts w:ascii="Times New Roman" w:hAnsi="Times New Roman"/>
          <w:color w:val="000000"/>
          <w:sz w:val="20"/>
        </w:rPr>
        <w:t>”), to subscribe for and purchase from Neighborhood Intelligence, Inc., a Delaware corporation (the “</w:t>
      </w:r>
      <w:r>
        <w:rPr>
          <w:rFonts w:ascii="Times New Roman" w:hAnsi="Times New Roman"/>
          <w:color w:val="000000"/>
          <w:sz w:val="20"/>
          <w:u w:val="single"/>
        </w:rPr>
        <w:t>Company</w:t>
      </w:r>
      <w:r>
        <w:rPr>
          <w:rFonts w:ascii="Times New Roman" w:hAnsi="Times New Roman"/>
          <w:color w:val="000000"/>
          <w:sz w:val="20"/>
        </w:rPr>
        <w:t xml:space="preserve">”), up to ______ shares </w:t>
      </w:r>
      <w:bookmarkStart w:id="76" w:name="z_Hlk1898321691"/>
      <w:bookmarkEnd w:id="76"/>
      <w:r>
        <w:rPr>
          <w:rFonts w:ascii="Times New Roman" w:hAnsi="Times New Roman"/>
          <w:color w:val="000000"/>
          <w:sz w:val="20"/>
        </w:rPr>
        <w:t>of common stock, par value $0.0001 per share, of the Company (the “</w:t>
      </w:r>
      <w:r>
        <w:rPr>
          <w:rFonts w:ascii="Times New Roman" w:hAnsi="Times New Roman"/>
          <w:color w:val="000000"/>
          <w:sz w:val="20"/>
          <w:u w:val="single"/>
        </w:rPr>
        <w:t>Common Stock</w:t>
      </w:r>
      <w:r>
        <w:rPr>
          <w:rFonts w:ascii="Times New Roman" w:hAnsi="Times New Roman"/>
          <w:color w:val="000000"/>
          <w:sz w:val="20"/>
        </w:rPr>
        <w:t>”) (as subject to adjustment hereunder, the “</w:t>
      </w:r>
      <w:r>
        <w:rPr>
          <w:rFonts w:ascii="Times New Roman" w:hAnsi="Times New Roman"/>
          <w:color w:val="000000"/>
          <w:sz w:val="20"/>
          <w:u w:val="single"/>
        </w:rPr>
        <w:t>Warrant Shares</w:t>
      </w:r>
      <w:r>
        <w:rPr>
          <w:rFonts w:ascii="Times New Roman" w:hAnsi="Times New Roman"/>
          <w:color w:val="000000"/>
          <w:sz w:val="20"/>
        </w:rPr>
        <w:t>”). The purchase price of one share of Common Stock under this Warrant shall be equal to the Exercise Price, as defined in Section 2(b).</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1</w:t>
      </w:r>
      <w:r>
        <w:rPr>
          <w:rFonts w:ascii="Times New Roman" w:hAnsi="Times New Roman"/>
          <w:color w:val="000000"/>
          <w:sz w:val="20"/>
        </w:rPr>
        <w:t>.</w:t>
      </w:r>
      <w:r>
        <w:rPr>
          <w:rFonts w:ascii="Times New Roman;Times;serif" w:hAnsi="Times New Roman;Times;serif"/>
          <w:color w:val="000000"/>
          <w:sz w:val="20"/>
        </w:rPr>
        <w:t>          </w:t>
      </w:r>
      <w:r>
        <w:rPr>
          <w:rFonts w:ascii="Times New Roman" w:hAnsi="Times New Roman"/>
          <w:color w:val="000000"/>
          <w:sz w:val="20"/>
          <w:u w:val="single"/>
        </w:rPr>
        <w:t>Definitions</w:t>
      </w:r>
      <w:r>
        <w:rPr>
          <w:rFonts w:ascii="Times New Roman" w:hAnsi="Times New Roman"/>
          <w:color w:val="000000"/>
          <w:sz w:val="20"/>
        </w:rPr>
        <w:t>.  Capitalized terms used and not otherwise defined herein shall have the meanings set forth in that certain Securities Purchase Agreement (the “</w:t>
      </w:r>
      <w:r>
        <w:rPr>
          <w:rFonts w:ascii="Times New Roman" w:hAnsi="Times New Roman"/>
          <w:color w:val="000000"/>
          <w:sz w:val="20"/>
          <w:u w:val="single"/>
        </w:rPr>
        <w:t>Purchase Agreement</w:t>
      </w:r>
      <w:r>
        <w:rPr>
          <w:rFonts w:ascii="Times New Roman" w:hAnsi="Times New Roman"/>
          <w:color w:val="000000"/>
          <w:sz w:val="20"/>
        </w:rPr>
        <w:t>”), dated October 5, 2026, among the Company and the purchasers signatory thereto.</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2</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Exercise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w:t>
      </w:r>
      <w:r>
        <w:rPr>
          <w:rFonts w:ascii="Times New Roman" w:hAnsi="Times New Roman"/>
          <w:color w:val="000000"/>
          <w:sz w:val="20"/>
          <w:u w:val="single"/>
        </w:rPr>
        <w:t>Exercise of Warrant</w:t>
      </w:r>
      <w:r>
        <w:rPr>
          <w:rFonts w:ascii="Times New Roman" w:hAnsi="Times New Roman"/>
          <w:color w:val="000000"/>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olor w:val="000000"/>
          <w:sz w:val="20"/>
          <w:u w:val="single"/>
        </w:rPr>
        <w:t>Notice of Exercise</w:t>
      </w:r>
      <w:r>
        <w:rPr>
          <w:rFonts w:ascii="Times New Roman" w:hAnsi="Times New Roman"/>
          <w:color w:val="000000"/>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hAnsi="Times New Roman"/>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xml:space="preserve">          </w:t>
      </w:r>
      <w:r>
        <w:rPr>
          <w:rFonts w:ascii="Times New Roman" w:hAnsi="Times New Roman"/>
          <w:color w:val="000000"/>
          <w:sz w:val="20"/>
          <w:u w:val="single"/>
        </w:rPr>
        <w:t>Exercise Price</w:t>
      </w:r>
      <w:r>
        <w:rPr>
          <w:rFonts w:ascii="Times New Roman" w:hAnsi="Times New Roman"/>
          <w:color w:val="000000"/>
          <w:sz w:val="20"/>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hAnsi="Times New Roman"/>
          <w:color w:val="000000"/>
          <w:sz w:val="20"/>
          <w:u w:val="single"/>
        </w:rPr>
        <w:t>Exercise Price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w:t>
      </w:r>
      <w:r>
        <w:rPr>
          <w:rFonts w:ascii="Times New Roman" w:hAnsi="Times New Roman"/>
          <w:color w:val="000000"/>
          <w:sz w:val="20"/>
          <w:u w:val="single"/>
        </w:rPr>
        <w:t>Cashless Exercise</w:t>
      </w:r>
      <w:r>
        <w:rPr>
          <w:rFonts w:ascii="Times New Roman" w:hAnsi="Times New Roman"/>
          <w:color w:val="000000"/>
          <w:sz w:val="20"/>
        </w:rPr>
        <w:t>. This Warrant may also be exercised, in whole or in part, by means of a “cashless exercise” in which the Holder shall be entitled to receive a number of Warrant Shares equal to the quotient obtained by dividing [(A-B) (X)] by (A), where: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7" w:name="zfba7befc157f4a03be51d08933eaa163"/>
      <w:bookmarkStart w:id="78" w:name="zfba7befc157f4a03be51d08933eaa163"/>
      <w:bookmarkEnd w:id="78"/>
    </w:p>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w:t>
            </w:r>
          </w:p>
        </w:tc>
        <w:tc>
          <w:tcPr>
            <w:tcW w:w="9950" w:type="dxa"/>
            <w:tcBorders/>
            <w:vAlign w:val="center"/>
          </w:tcPr>
          <w:p>
            <w:pPr>
              <w:pStyle w:val="TableContents"/>
              <w:bidi w:val="0"/>
              <w:spacing w:before="0" w:after="0"/>
              <w:jc w:val="both"/>
              <w:rPr/>
            </w:pPr>
            <w:r>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w:t>
            </w:r>
            <w:r>
              <w:rPr>
                <w:rFonts w:ascii="Times New Roman" w:hAnsi="Times New Roman"/>
                <w:u w:val="single"/>
              </w:rPr>
              <w:t>Bloomberg</w:t>
            </w:r>
            <w:r>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9" w:name="zeaa8cdc59cc146a198af133b2a67178a"/>
      <w:bookmarkStart w:id="80" w:name="zeaa8cdc59cc146a198af133b2a67178a"/>
      <w:bookmarkEnd w:id="80"/>
    </w:p>
    <w:tbl>
      <w:tblPr>
        <w:tblW w:w="4203" w:type="dxa"/>
        <w:jc w:val="left"/>
        <w:tblInd w:w="0" w:type="dxa"/>
        <w:tblLayout w:type="fixed"/>
        <w:tblCellMar>
          <w:top w:w="0" w:type="dxa"/>
          <w:left w:w="0" w:type="dxa"/>
          <w:bottom w:w="0" w:type="dxa"/>
          <w:right w:w="0" w:type="dxa"/>
        </w:tblCellMar>
      </w:tblPr>
      <w:tblGrid>
        <w:gridCol w:w="23"/>
        <w:gridCol w:w="470"/>
        <w:gridCol w:w="3710"/>
      </w:tblGrid>
      <w:tr>
        <w:trPr/>
        <w:tc>
          <w:tcPr>
            <w:tcW w:w="23" w:type="dxa"/>
            <w:tcBorders/>
            <w:vAlign w:val="center"/>
          </w:tcPr>
          <w:p>
            <w:pPr>
              <w:pStyle w:val="TableContents"/>
              <w:bidi w:val="0"/>
              <w:spacing w:before="0" w:after="283"/>
              <w:jc w:val="left"/>
              <w:rPr/>
            </w:pPr>
            <w:r>
              <w:rPr/>
            </w:r>
          </w:p>
        </w:tc>
        <w:tc>
          <w:tcPr>
            <w:tcW w:w="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  =</w:t>
            </w:r>
          </w:p>
        </w:tc>
        <w:tc>
          <w:tcPr>
            <w:tcW w:w="371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the Exercise Price, as adjusted hereunder;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1" w:name="zf05b173fd8ed49d4a9c072a357a95c3b"/>
      <w:bookmarkStart w:id="82" w:name="zf05b173fd8ed49d4a9c072a357a95c3b"/>
      <w:bookmarkEnd w:id="82"/>
    </w:p>
    <w:tbl>
      <w:tblPr>
        <w:tblW w:w="10205" w:type="dxa"/>
        <w:jc w:val="left"/>
        <w:tblInd w:w="0" w:type="dxa"/>
        <w:tblLayout w:type="fixed"/>
        <w:tblCellMar>
          <w:top w:w="0" w:type="dxa"/>
          <w:left w:w="0" w:type="dxa"/>
          <w:bottom w:w="0" w:type="dxa"/>
          <w:right w:w="0" w:type="dxa"/>
        </w:tblCellMar>
      </w:tblPr>
      <w:tblGrid>
        <w:gridCol w:w="23"/>
        <w:gridCol w:w="358"/>
        <w:gridCol w:w="9824"/>
      </w:tblGrid>
      <w:tr>
        <w:trPr/>
        <w:tc>
          <w:tcPr>
            <w:tcW w:w="23" w:type="dxa"/>
            <w:tcBorders/>
            <w:vAlign w:val="center"/>
          </w:tcPr>
          <w:p>
            <w:pPr>
              <w:pStyle w:val="TableContents"/>
              <w:bidi w:val="0"/>
              <w:spacing w:before="0" w:after="283"/>
              <w:jc w:val="left"/>
              <w:rPr/>
            </w:pPr>
            <w:r>
              <w:rPr/>
            </w:r>
          </w:p>
        </w:tc>
        <w:tc>
          <w:tcPr>
            <w:tcW w:w="3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  =</w:t>
            </w:r>
          </w:p>
        </w:tc>
        <w:tc>
          <w:tcPr>
            <w:tcW w:w="98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jc w:val="left"/>
        <w:rPr/>
      </w:pPr>
      <w:r>
        <w:rPr/>
      </w:r>
    </w:p>
    <w:p>
      <w:pPr>
        <w:pStyle w:val="TextBody"/>
        <w:bidi w:val="0"/>
        <w:spacing w:before="200" w:after="200"/>
        <w:ind w:left="2070" w:right="0" w:hanging="630"/>
        <w:jc w:val="center"/>
        <w:rPr>
          <w:rFonts w:ascii="Times New Roman" w:hAnsi="Times New Roman"/>
          <w:b w:val="false"/>
          <w:i w:val="false"/>
          <w:caps w:val="false"/>
          <w:smallCaps w:val="false"/>
          <w:color w:val="000000"/>
          <w:sz w:val="16"/>
        </w:rPr>
      </w:pPr>
      <w:bookmarkStart w:id="83" w:name="z_Hlk203927611"/>
      <w:bookmarkEnd w:id="83"/>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Bid Price</w:t>
      </w:r>
      <w:r>
        <w:rPr>
          <w:rFonts w:ascii="Times New Roman" w:hAnsi="Times New Roman"/>
          <w:color w:val="000000"/>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OTCQB Venture Market (“</w:t>
      </w:r>
      <w:r>
        <w:rPr>
          <w:rFonts w:ascii="Times New Roman" w:hAnsi="Times New Roman"/>
          <w:color w:val="000000"/>
          <w:sz w:val="20"/>
          <w:u w:val="single"/>
        </w:rPr>
        <w:t>OTCQB</w:t>
      </w:r>
      <w:r>
        <w:rPr>
          <w:rFonts w:ascii="Times New Roman" w:hAnsi="Times New Roman"/>
          <w:color w:val="000000"/>
          <w:sz w:val="20"/>
        </w:rPr>
        <w:t>”) or the OTCQX Best Market (“</w:t>
      </w:r>
      <w:r>
        <w:rPr>
          <w:rFonts w:ascii="Times New Roman" w:hAnsi="Times New Roman"/>
          <w:color w:val="000000"/>
          <w:sz w:val="20"/>
          <w:u w:val="single"/>
        </w:rPr>
        <w:t>OTCQX</w:t>
      </w:r>
      <w:r>
        <w:rPr>
          <w:rFonts w:ascii="Times New Roman" w:hAnsi="Times New Roman"/>
          <w:color w:val="000000"/>
          <w:sz w:val="20"/>
        </w:rPr>
        <w:t>”),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Open Market (“</w:t>
      </w:r>
      <w:r>
        <w:rPr>
          <w:rFonts w:ascii="Times New Roman" w:hAnsi="Times New Roman"/>
          <w:color w:val="000000"/>
          <w:sz w:val="20"/>
          <w:u w:val="single"/>
        </w:rPr>
        <w:t>Pink Market</w:t>
      </w:r>
      <w:r>
        <w:rPr>
          <w:rFonts w:ascii="Times New Roman" w:hAnsi="Times New Roman"/>
          <w:color w:val="000000"/>
          <w:sz w:val="20"/>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jc w:val="left"/>
        <w:rPr>
          <w:sz w:val="20"/>
        </w:rPr>
      </w:pPr>
      <w:r>
        <w:rPr>
          <w:sz w:val="20"/>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VWAP</w:t>
      </w:r>
      <w:r>
        <w:rPr>
          <w:rFonts w:ascii="Times New Roman" w:hAnsi="Times New Roman"/>
          <w:color w:val="000000"/>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then listed or quoted on the OTCQB or the OTCQX,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Mechanics of Exercise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lineRule="auto" w:line="240" w:before="0" w:after="0"/>
        <w:ind w:left="2160" w:right="0" w:firstLine="72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Delivery of Warrant Shares Upon Exercise</w:t>
      </w:r>
      <w:r>
        <w:rPr>
          <w:rFonts w:ascii="Times New Roman" w:hAnsi="Times New Roman"/>
          <w:color w:val="000000"/>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olor w:val="000000"/>
          <w:sz w:val="20"/>
          <w:u w:val="single"/>
        </w:rPr>
        <w:t>DWAC</w:t>
      </w:r>
      <w:r>
        <w:rPr>
          <w:rFonts w:ascii="Times New Roman" w:hAnsi="Times New Roman"/>
          <w:color w:val="000000"/>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hAnsi="Times New Roman"/>
          <w:color w:val="000000"/>
          <w:sz w:val="20"/>
          <w:u w:val="single"/>
        </w:rPr>
        <w:t>Warrant Share Delivery Date</w:t>
      </w:r>
      <w:r>
        <w:rPr>
          <w:rFonts w:ascii="Times New Roman" w:hAnsi="Times New Roman"/>
          <w:color w:val="000000"/>
          <w:sz w:val="20"/>
        </w:rPr>
        <w:t xml:space="preserv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w:t>
      </w:r>
      <w:bookmarkStart w:id="84" w:name="z_Hlk203932581"/>
      <w:bookmarkEnd w:id="84"/>
      <w:r>
        <w:rPr>
          <w:rFonts w:ascii="Times New Roman" w:hAnsi="Times New Roman"/>
          <w:color w:val="000000"/>
          <w:sz w:val="20"/>
        </w:rPr>
        <w:t>The Company agrees to maintain a transfer agent that is a participant in the FAST program so long as this Warrant remains outstanding and exercisable.  As used herein, “</w:t>
      </w:r>
      <w:r>
        <w:rPr>
          <w:rFonts w:ascii="Times New Roman" w:hAnsi="Times New Roman"/>
          <w:color w:val="000000"/>
          <w:sz w:val="20"/>
          <w:u w:val="single"/>
        </w:rPr>
        <w:t>Standard Settlement Period</w:t>
      </w:r>
      <w:r>
        <w:rPr>
          <w:rFonts w:ascii="Times New Roman" w:hAnsi="Times New Roman"/>
          <w:color w:val="000000"/>
          <w:sz w:val="20"/>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or cause to be delivered,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ii.</w:t>
      </w:r>
      <w:r>
        <w:rPr>
          <w:rFonts w:ascii="Times New Roman;Times;serif" w:hAnsi="Times New Roman;Times;serif"/>
          <w:color w:val="000000"/>
          <w:sz w:val="20"/>
        </w:rPr>
        <w:t xml:space="preserve">       </w:t>
      </w:r>
      <w:r>
        <w:rPr>
          <w:rFonts w:ascii="Times New Roman" w:hAnsi="Times New Roman"/>
          <w:color w:val="000000"/>
          <w:sz w:val="20"/>
          <w:u w:val="single"/>
        </w:rPr>
        <w:t>Delivery of New Warrants Upon Exercise</w:t>
      </w:r>
      <w:r>
        <w:rPr>
          <w:rFonts w:ascii="Times New Roman" w:hAnsi="Times New Roman"/>
          <w:color w:val="000000"/>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jc w:val="left"/>
        <w:rPr>
          <w:sz w:val="20"/>
        </w:rPr>
      </w:pPr>
      <w:r>
        <w:rPr>
          <w:sz w:val="20"/>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iii.</w:t>
      </w:r>
      <w:r>
        <w:rPr>
          <w:rFonts w:ascii="Times New Roman;Times;serif" w:hAnsi="Times New Roman;Times;serif"/>
          <w:color w:val="000000"/>
          <w:sz w:val="20"/>
        </w:rPr>
        <w:t xml:space="preserve">       </w:t>
      </w:r>
      <w:r>
        <w:rPr>
          <w:rFonts w:ascii="Times New Roman" w:hAnsi="Times New Roman"/>
          <w:color w:val="000000"/>
          <w:sz w:val="20"/>
          <w:u w:val="single"/>
        </w:rPr>
        <w:t>Rescission Rights</w:t>
      </w:r>
      <w:r>
        <w:rPr>
          <w:rFonts w:ascii="Times New Roman" w:hAnsi="Times New Roman"/>
          <w:color w:val="000000"/>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jc w:val="left"/>
        <w:rPr>
          <w:sz w:val="20"/>
        </w:rPr>
      </w:pPr>
      <w:r>
        <w:rPr>
          <w:sz w:val="20"/>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iv.</w:t>
      </w:r>
      <w:r>
        <w:rPr>
          <w:rFonts w:ascii="Times New Roman;Times;serif" w:hAnsi="Times New Roman;Times;serif"/>
          <w:color w:val="000000"/>
          <w:sz w:val="20"/>
        </w:rPr>
        <w:t xml:space="preserve">       </w:t>
      </w:r>
      <w:r>
        <w:rPr>
          <w:rFonts w:ascii="Times New Roman" w:hAnsi="Times New Roman"/>
          <w:color w:val="000000"/>
          <w:sz w:val="20"/>
          <w:u w:val="single"/>
        </w:rPr>
        <w:t>Compensation for Buy-In on Failure to Timely Deliver Warrant Shares Upon Exercise</w:t>
      </w:r>
      <w:r>
        <w:rPr>
          <w:rFonts w:ascii="Times New Roman" w:hAnsi="Times New Roman"/>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0"/>
          <w:u w:val="single"/>
        </w:rPr>
        <w:t>Buy-In</w:t>
      </w:r>
      <w:r>
        <w:rPr>
          <w:rFonts w:ascii="Times New Roman" w:hAnsi="Times New Roman"/>
          <w:color w:val="000000"/>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for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v.</w:t>
      </w:r>
      <w:r>
        <w:rPr>
          <w:rFonts w:ascii="Times New Roman;Times;serif" w:hAnsi="Times New Roman;Times;serif"/>
          <w:color w:val="000000"/>
          <w:sz w:val="20"/>
        </w:rPr>
        <w:t xml:space="preserve">        </w:t>
      </w:r>
      <w:r>
        <w:rPr>
          <w:rFonts w:ascii="Times New Roman" w:hAnsi="Times New Roman"/>
          <w:color w:val="000000"/>
          <w:sz w:val="20"/>
          <w:u w:val="single"/>
        </w:rPr>
        <w:t>No Fractional Shares or Scrip</w:t>
      </w:r>
      <w:r>
        <w:rPr>
          <w:rFonts w:ascii="Times New Roman" w:hAnsi="Times New Roman"/>
          <w:color w:val="000000"/>
          <w:sz w:val="20"/>
        </w:rPr>
        <w:t>.  No fractional shares or scrip representing fractional shares shall be issued upon the exercise of this Warrant.  As to any fraction of a share which the Holder would otherwise be entitled to purchase upon such exercise, the number of Warrant Shares to be issued shall be rounded down to the nearest whole number and Company shall pay a cash adjustment in respect of such final fraction in an amount equal to such fraction multiplied by the Exercise Price.</w:t>
      </w:r>
    </w:p>
    <w:p>
      <w:pPr>
        <w:pStyle w:val="TextBody"/>
        <w:bidi w:val="0"/>
        <w:spacing w:before="0" w:after="0"/>
        <w:jc w:val="left"/>
        <w:rPr>
          <w:sz w:val="20"/>
        </w:rPr>
      </w:pPr>
      <w:r>
        <w:rPr>
          <w:sz w:val="20"/>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vi.</w:t>
      </w:r>
      <w:r>
        <w:rPr>
          <w:rFonts w:ascii="Times New Roman;Times;serif" w:hAnsi="Times New Roman;Times;serif"/>
          <w:color w:val="000000"/>
          <w:sz w:val="20"/>
        </w:rPr>
        <w:t xml:space="preserve">       </w:t>
      </w:r>
      <w:r>
        <w:rPr>
          <w:rFonts w:ascii="Times New Roman" w:hAnsi="Times New Roman"/>
          <w:color w:val="000000"/>
          <w:sz w:val="20"/>
          <w:u w:val="single"/>
        </w:rPr>
        <w:t>Charges, Taxes and Expenses</w:t>
      </w:r>
      <w:r>
        <w:rPr>
          <w:rFonts w:ascii="Times New Roman" w:hAnsi="Times New Roman"/>
          <w:color w:val="000000"/>
          <w:sz w:val="20"/>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jc w:val="left"/>
        <w:rPr>
          <w:sz w:val="20"/>
        </w:rPr>
      </w:pPr>
      <w:r>
        <w:rPr>
          <w:sz w:val="20"/>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vii.</w:t>
      </w:r>
      <w:r>
        <w:rPr>
          <w:rFonts w:ascii="Times New Roman;Times;serif" w:hAnsi="Times New Roman;Times;serif"/>
          <w:color w:val="000000"/>
          <w:sz w:val="20"/>
        </w:rPr>
        <w:t xml:space="preserve">      </w:t>
      </w:r>
      <w:r>
        <w:rPr>
          <w:rFonts w:ascii="Times New Roman" w:hAnsi="Times New Roman"/>
          <w:color w:val="000000"/>
          <w:sz w:val="20"/>
          <w:u w:val="single"/>
        </w:rPr>
        <w:t>Closing of Books</w:t>
      </w:r>
      <w:r>
        <w:rPr>
          <w:rFonts w:ascii="Times New Roman" w:hAnsi="Times New Roman"/>
          <w:color w:val="000000"/>
          <w:sz w:val="20"/>
        </w:rPr>
        <w:t>.  The Company will not close its stockholder books or records in any manner which prevents the timely exercise of this Warrant, pursuant to the terms hereof.</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1440" w:right="0" w:hanging="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Holder’s Exercise Limitations</w:t>
      </w:r>
      <w:r>
        <w:rPr>
          <w:rFonts w:ascii="Times New Roman" w:hAnsi="Times New Roman"/>
          <w:color w:val="000000"/>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 w:hAnsi="Times New Roman"/>
          <w:color w:val="000000"/>
          <w:sz w:val="20"/>
          <w:u w:val="single"/>
        </w:rPr>
        <w:t>Attribution Parties</w:t>
      </w:r>
      <w:r>
        <w:rPr>
          <w:rFonts w:ascii="Times New Roman" w:hAnsi="Times New Roman"/>
          <w:color w:val="000000"/>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(other than to the extent that the information on the number of outstanding shares of Common Stock is provided by the Company, either directly or through one or more public filings relied upon by the Holder).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olor w:val="000000"/>
          <w:sz w:val="20"/>
          <w:u w:val="single"/>
        </w:rPr>
        <w:t>Beneficial Ownership Limitation</w:t>
      </w:r>
      <w:r>
        <w:rPr>
          <w:rFonts w:ascii="Times New Roman" w:hAnsi="Times New Roman"/>
          <w:color w:val="000000"/>
          <w:sz w:val="20"/>
        </w:rPr>
        <w:t xml:space="preserve">” shall be </w:t>
      </w:r>
      <w:bookmarkStart w:id="85" w:name="z_Hlk1898326941"/>
      <w:bookmarkEnd w:id="85"/>
      <w:r>
        <w:rPr>
          <w:rFonts w:ascii="Times New Roman" w:hAnsi="Times New Roman"/>
          <w:color w:val="000000"/>
          <w:sz w:val="20"/>
        </w:rPr>
        <w:t>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3</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xml:space="preserve">          </w:t>
      </w:r>
      <w:r>
        <w:rPr>
          <w:rFonts w:ascii="Times New Roman" w:hAnsi="Times New Roman"/>
          <w:color w:val="000000"/>
          <w:sz w:val="20"/>
          <w:u w:val="single"/>
        </w:rPr>
        <w:t>Stock Dividends and Splits</w:t>
      </w:r>
      <w:r>
        <w:rPr>
          <w:rFonts w:ascii="Times New Roman" w:hAnsi="Times New Roman"/>
          <w:color w:val="000000"/>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noBreakHyphen/>
        <w:t>classification.</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xml:space="preserve">        </w:t>
      </w:r>
      <w:r>
        <w:rPr>
          <w:rFonts w:ascii="Times New Roman" w:hAnsi="Times New Roman"/>
          <w:color w:val="000000"/>
          <w:sz w:val="20"/>
          <w:u w:val="single"/>
        </w:rPr>
        <w:t>Subsequent Rights Offerings</w:t>
      </w:r>
      <w:r>
        <w:rPr>
          <w:rFonts w:ascii="Times New Roman" w:hAnsi="Times New Roman"/>
          <w:color w:val="000000"/>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0"/>
          <w:u w:val="single"/>
        </w:rPr>
        <w:t>Purchase Rights</w:t>
      </w:r>
      <w:r>
        <w:rPr>
          <w:rFonts w:ascii="Times New Roman" w:hAnsi="Times New Roman"/>
          <w:color w:val="000000"/>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d)</w:t>
      </w:r>
      <w:r>
        <w:rPr>
          <w:rFonts w:ascii="Times New Roman;Times;serif" w:hAnsi="Times New Roman;Times;serif"/>
          <w:color w:val="000000"/>
          <w:sz w:val="20"/>
        </w:rPr>
        <w:t>          </w:t>
      </w:r>
      <w:r>
        <w:rPr>
          <w:rFonts w:ascii="Times New Roman" w:hAnsi="Times New Roman"/>
          <w:color w:val="000000"/>
          <w:sz w:val="20"/>
          <w:u w:val="single"/>
        </w:rPr>
        <w:t>Pro Rata Distributions</w:t>
      </w:r>
      <w:r>
        <w:rPr>
          <w:rFonts w:ascii="Times New Roman" w:hAnsi="Times New Roman"/>
          <w:color w:val="000000"/>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0"/>
          <w:u w:val="single"/>
        </w:rPr>
        <w:t>Distribution</w:t>
      </w:r>
      <w:r>
        <w:rPr>
          <w:rFonts w:ascii="Times New Roman" w:hAnsi="Times New Roman"/>
          <w:color w:val="000000"/>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e)</w:t>
      </w:r>
      <w:r>
        <w:rPr>
          <w:rFonts w:ascii="Times New Roman;Times;serif" w:hAnsi="Times New Roman;Times;serif"/>
          <w:color w:val="000000"/>
          <w:sz w:val="20"/>
        </w:rPr>
        <w:t>          </w:t>
      </w:r>
      <w:r>
        <w:rPr>
          <w:rFonts w:ascii="Times New Roman" w:hAnsi="Times New Roman"/>
          <w:color w:val="000000"/>
          <w:sz w:val="20"/>
          <w:u w:val="single"/>
        </w:rPr>
        <w:t>Fundamental Transaction</w:t>
      </w:r>
      <w:r>
        <w:rPr>
          <w:rFonts w:ascii="Times New Roman" w:hAnsi="Times New Roman"/>
          <w:color w:val="000000"/>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outstanding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w:t>
      </w:r>
      <w:bookmarkStart w:id="86" w:name="OLE_LINK51"/>
      <w:bookmarkStart w:id="87" w:name="OLE_LINK61"/>
      <w:bookmarkEnd w:id="86"/>
      <w:bookmarkEnd w:id="87"/>
      <w:r>
        <w:rPr>
          <w:rFonts w:ascii="Times New Roman" w:hAnsi="Times New Roman"/>
          <w:color w:val="000000"/>
          <w:sz w:val="20"/>
        </w:rPr>
        <w:t>,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w:t>
      </w:r>
      <w:r>
        <w:rPr>
          <w:rFonts w:ascii="Times New Roman" w:hAnsi="Times New Roman"/>
          <w:color w:val="FF0000"/>
          <w:sz w:val="20"/>
        </w:rPr>
        <w:t> </w:t>
      </w:r>
      <w:r>
        <w:rPr>
          <w:rFonts w:ascii="Times New Roman" w:hAnsi="Times New Roman"/>
          <w:color w:val="000000"/>
          <w:sz w:val="20"/>
        </w:rPr>
        <w:t>of the voting power of the outstanding common equity of the Company (each a “</w:t>
      </w:r>
      <w:r>
        <w:rPr>
          <w:rFonts w:ascii="Times New Roman" w:hAnsi="Times New Roman"/>
          <w:color w:val="000000"/>
          <w:sz w:val="20"/>
          <w:u w:val="single"/>
        </w:rPr>
        <w:t>Fundamental Transaction</w:t>
      </w:r>
      <w:r>
        <w:rPr>
          <w:rFonts w:ascii="Times New Roman" w:hAnsi="Times New Roman"/>
          <w:color w:val="00000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0"/>
          <w:u w:val="single"/>
        </w:rPr>
        <w:t>Alternate Consideration</w:t>
      </w:r>
      <w:r>
        <w:rPr>
          <w:rFonts w:ascii="Times New Roman" w:hAnsi="Times New Roman"/>
          <w:color w:val="000000"/>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color w:val="000000"/>
          <w:sz w:val="20"/>
          <w:u w:val="single"/>
        </w:rPr>
        <w:t>Successor Entity</w:t>
      </w:r>
      <w:r>
        <w:rPr>
          <w:rFonts w:ascii="Times New Roman" w:hAnsi="Times New Roman"/>
          <w:color w:val="000000"/>
          <w:sz w:val="20"/>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whether the Company has sufficient authorized shares of Common Stock for the issuance of Warrant Shares.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f)</w:t>
      </w:r>
      <w:r>
        <w:rPr>
          <w:rFonts w:ascii="Times New Roman;Times;serif" w:hAnsi="Times New Roman;Times;serif"/>
          <w:color w:val="000000"/>
          <w:sz w:val="20"/>
        </w:rPr>
        <w:t xml:space="preserve">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g)</w:t>
      </w:r>
      <w:r>
        <w:rPr>
          <w:rFonts w:ascii="Times New Roman;Times;serif" w:hAnsi="Times New Roman;Times;serif"/>
          <w:color w:val="000000"/>
          <w:sz w:val="20"/>
        </w:rPr>
        <w:t>          </w:t>
      </w:r>
      <w:r>
        <w:rPr>
          <w:rFonts w:ascii="Times New Roman" w:hAnsi="Times New Roman"/>
          <w:color w:val="000000"/>
          <w:sz w:val="20"/>
          <w:u w:val="single"/>
        </w:rPr>
        <w:t>Calculations</w:t>
      </w:r>
      <w:r>
        <w:rPr>
          <w:rFonts w:ascii="Times New Roman" w:hAnsi="Times New Roman"/>
          <w:color w:val="000000"/>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h)</w:t>
      </w:r>
      <w:r>
        <w:rPr>
          <w:rFonts w:ascii="Times New Roman;Times;serif" w:hAnsi="Times New Roman;Times;serif"/>
          <w:color w:val="000000"/>
          <w:sz w:val="20"/>
        </w:rPr>
        <w:t>          </w:t>
      </w:r>
      <w:r>
        <w:rPr>
          <w:rFonts w:ascii="Times New Roman" w:hAnsi="Times New Roman"/>
          <w:color w:val="000000"/>
          <w:sz w:val="20"/>
          <w:u w:val="single"/>
        </w:rPr>
        <w:t>Notice to Holder</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w:t>
      </w:r>
      <w:r>
        <w:rPr>
          <w:rFonts w:ascii="Times New Roman;Times;serif" w:hAnsi="Times New Roman;Times;serif"/>
          <w:color w:val="000000"/>
          <w:sz w:val="20"/>
        </w:rPr>
        <w:t xml:space="preserve">       </w:t>
      </w:r>
      <w:r>
        <w:rPr>
          <w:rFonts w:ascii="Times New Roman" w:hAnsi="Times New Roman"/>
          <w:color w:val="000000"/>
          <w:sz w:val="20"/>
          <w:u w:val="single"/>
        </w:rPr>
        <w:t>Adjustment to Exercise Price</w:t>
      </w:r>
      <w:r>
        <w:rPr>
          <w:rFonts w:ascii="Times New Roman" w:hAnsi="Times New Roman"/>
          <w:color w:val="000000"/>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For purposes of clarification, whether or not the Company provides any such notice, each Holder shall only be required to pay the adjusted Exercise Price with respect to such exercise, regardless of whether a Holder accurately refers to such price in any Notice of Exercise If the aggregate Exercise Price paid by the Holder exceeds the amount that should have been paid based on the adjusted Exercise Price, the Company shall promptly return any excess aggregate Exercise Price to the Holder.</w:t>
      </w:r>
    </w:p>
    <w:p>
      <w:pPr>
        <w:pStyle w:val="TextBody"/>
        <w:bidi w:val="0"/>
        <w:spacing w:before="0" w:after="0"/>
        <w:jc w:val="left"/>
        <w:rPr>
          <w:sz w:val="20"/>
        </w:rPr>
      </w:pPr>
      <w:r>
        <w:rPr>
          <w:sz w:val="20"/>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ii.</w:t>
      </w:r>
      <w:r>
        <w:rPr>
          <w:rFonts w:ascii="Times New Roman;Times;serif" w:hAnsi="Times New Roman;Times;serif"/>
          <w:color w:val="000000"/>
          <w:sz w:val="20"/>
        </w:rPr>
        <w:t xml:space="preserve">      </w:t>
      </w:r>
      <w:r>
        <w:rPr>
          <w:rFonts w:ascii="Times New Roman" w:hAnsi="Times New Roman"/>
          <w:color w:val="000000"/>
          <w:sz w:val="20"/>
          <w:u w:val="single"/>
        </w:rPr>
        <w:t>Notice to Allow Exercise by Holder</w:t>
      </w:r>
      <w:r>
        <w:rPr>
          <w:rFonts w:ascii="Times New Roman" w:hAnsi="Times New Roman"/>
          <w:color w:val="000000"/>
          <w:sz w:val="20"/>
        </w:rPr>
        <w:t xml:space="preserve">. If, while the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w:t>
      </w:r>
      <w:bookmarkStart w:id="88" w:name="z_Hlk203938761"/>
      <w:bookmarkEnd w:id="88"/>
      <w:r>
        <w:rPr>
          <w:rFonts w:ascii="Times New Roman" w:hAnsi="Times New Roman"/>
          <w:color w:val="000000"/>
          <w:sz w:val="20"/>
        </w:rPr>
        <w:t>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iii.</w:t>
      </w:r>
      <w:r>
        <w:rPr>
          <w:rFonts w:ascii="Times New Roman;Times;serif" w:hAnsi="Times New Roman;Times;serif"/>
          <w:color w:val="000000"/>
          <w:sz w:val="20"/>
        </w:rPr>
        <w:t xml:space="preserve">      </w:t>
      </w:r>
      <w:r>
        <w:rPr>
          <w:rFonts w:ascii="Times New Roman" w:hAnsi="Times New Roman"/>
          <w:color w:val="000000"/>
          <w:sz w:val="20"/>
          <w:u w:val="single"/>
        </w:rPr>
        <w:t>Voluntary Adjustment By Company</w:t>
      </w:r>
      <w:r>
        <w:rPr>
          <w:rFonts w:ascii="Times New Roman" w:hAnsi="Times New Roman"/>
          <w:color w:val="000000"/>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4</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Transfer of Warrant</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xml:space="preserve">        </w:t>
      </w:r>
      <w:r>
        <w:rPr>
          <w:rFonts w:ascii="Times New Roman" w:hAnsi="Times New Roman"/>
          <w:color w:val="000000"/>
          <w:sz w:val="20"/>
          <w:u w:val="single"/>
        </w:rPr>
        <w:t>Transferability</w:t>
      </w:r>
      <w:r>
        <w:rPr>
          <w:rFonts w:ascii="Times New Roman" w:hAnsi="Times New Roman"/>
          <w:color w:val="000000"/>
          <w:sz w:val="20"/>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w:t>
      </w:r>
      <w:bookmarkStart w:id="89" w:name="z_Hlk203940271"/>
      <w:bookmarkEnd w:id="89"/>
      <w:r>
        <w:rPr>
          <w:rFonts w:ascii="Times New Roman" w:hAnsi="Times New Roman"/>
          <w:color w:val="000000"/>
          <w:sz w:val="20"/>
        </w:rPr>
        <w:t>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w:t>
      </w:r>
      <w:r>
        <w:rPr>
          <w:rFonts w:ascii="Times New Roman" w:hAnsi="Times New Roman"/>
          <w:color w:val="000000"/>
          <w:sz w:val="20"/>
          <w:u w:val="single"/>
        </w:rPr>
        <w:t>New Warrants</w:t>
      </w:r>
      <w:r>
        <w:rPr>
          <w:rFonts w:ascii="Times New Roman" w:hAnsi="Times New Roman"/>
          <w:color w:val="000000"/>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xml:space="preserve">        </w:t>
      </w:r>
      <w:r>
        <w:rPr>
          <w:rFonts w:ascii="Times New Roman" w:hAnsi="Times New Roman"/>
          <w:color w:val="000000"/>
          <w:sz w:val="20"/>
          <w:u w:val="single"/>
        </w:rPr>
        <w:t>Warrant Register</w:t>
      </w:r>
      <w:r>
        <w:rPr>
          <w:rFonts w:ascii="Times New Roman" w:hAnsi="Times New Roman"/>
          <w:color w:val="000000"/>
          <w:sz w:val="20"/>
        </w:rPr>
        <w:t>. The Company shall register this Warrant, upon records to be maintained by the Company for that purpose (the “</w:t>
      </w:r>
      <w:r>
        <w:rPr>
          <w:rFonts w:ascii="Times New Roman" w:hAnsi="Times New Roman"/>
          <w:color w:val="000000"/>
          <w:sz w:val="20"/>
          <w:u w:val="single"/>
        </w:rPr>
        <w:t>Warrant Register</w:t>
      </w:r>
      <w:r>
        <w:rPr>
          <w:rFonts w:ascii="Times New Roman" w:hAnsi="Times New Roman"/>
          <w:color w:val="000000"/>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5</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w:t>
      </w:r>
      <w:r>
        <w:rPr>
          <w:rFonts w:ascii="Times New Roman" w:hAnsi="Times New Roman"/>
          <w:color w:val="000000"/>
          <w:sz w:val="20"/>
          <w:u w:val="single"/>
        </w:rPr>
        <w:t>No Rights as Stockholder Until Exercise; No Settlement in Cash</w:t>
      </w:r>
      <w:r>
        <w:rPr>
          <w:rFonts w:ascii="Times New Roman" w:hAnsi="Times New Roman"/>
          <w:color w:val="000000"/>
          <w:sz w:val="20"/>
        </w:rPr>
        <w:t xml:space="preserve">.  This Warrant does not entitle the Holder to any voting rights, dividends or other rights as a stockholder of the Company prior to the exercise hereof as set forth in Section 2(d)(i), except as expressly set forth in Section 3.  </w:t>
      </w:r>
      <w:bookmarkStart w:id="90" w:name="z_Hlk203941141"/>
      <w:bookmarkEnd w:id="90"/>
      <w:r>
        <w:rPr>
          <w:rFonts w:ascii="Times New Roman" w:hAnsi="Times New Roman"/>
          <w:color w:val="000000"/>
          <w:sz w:val="20"/>
        </w:rPr>
        <w:t>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xml:space="preserve">         </w:t>
      </w:r>
      <w:r>
        <w:rPr>
          <w:rFonts w:ascii="Times New Roman" w:hAnsi="Times New Roman"/>
          <w:color w:val="000000"/>
          <w:sz w:val="20"/>
          <w:u w:val="single"/>
        </w:rPr>
        <w:t>Loss, Theft, Destruction or Mutilation of Warrant</w:t>
      </w:r>
      <w:r>
        <w:rPr>
          <w:rFonts w:ascii="Times New Roman" w:hAnsi="Times New Roman"/>
          <w:color w:val="000000"/>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w:t>
      </w:r>
      <w:r>
        <w:rPr>
          <w:rFonts w:ascii="Times New Roman" w:hAnsi="Times New Roman"/>
          <w:color w:val="000000"/>
          <w:sz w:val="20"/>
          <w:u w:val="single"/>
        </w:rPr>
        <w:t>Saturdays, Sundays, Holidays, etc</w:t>
      </w:r>
      <w:r>
        <w:rPr>
          <w:rFonts w:ascii="Times New Roman" w:hAnsi="Times New Roman"/>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d)</w:t>
      </w:r>
      <w:r>
        <w:rPr>
          <w:rFonts w:ascii="Times New Roman;Times;serif" w:hAnsi="Times New Roman;Times;serif"/>
          <w:color w:val="000000"/>
          <w:sz w:val="20"/>
        </w:rPr>
        <w:t>          </w:t>
      </w:r>
      <w:r>
        <w:rPr>
          <w:rFonts w:ascii="Times New Roman" w:hAnsi="Times New Roman"/>
          <w:color w:val="000000"/>
          <w:sz w:val="20"/>
          <w:u w:val="single"/>
        </w:rPr>
        <w:t>Authorized Shares</w:t>
      </w:r>
      <w:r>
        <w:rPr>
          <w:rFonts w:ascii="Times New Roman" w:hAnsi="Times New Roman"/>
          <w:color w:val="000000"/>
          <w:sz w:val="20"/>
        </w:rPr>
        <w:t>.</w:t>
      </w:r>
      <w:r>
        <w:rPr>
          <w:rFonts w:ascii="Times New Roman;Times;serif" w:hAnsi="Times New Roman;Times;serif"/>
          <w:color w:val="000000"/>
          <w:sz w:val="20"/>
        </w:rPr>
        <w:t xml:space="preserve">The Company covenants that, during the period that the Warrant is outstanding, it will reserve and keep available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jc w:val="left"/>
        <w:rPr>
          <w:sz w:val="20"/>
        </w:rPr>
      </w:pPr>
      <w:r>
        <w:rPr>
          <w:sz w:val="20"/>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e)</w:t>
      </w:r>
      <w:r>
        <w:rPr>
          <w:rFonts w:ascii="Times New Roman;Times;serif" w:hAnsi="Times New Roman;Times;serif"/>
          <w:color w:val="000000"/>
          <w:sz w:val="20"/>
        </w:rPr>
        <w:t xml:space="preserve">         </w:t>
      </w:r>
      <w:r>
        <w:rPr>
          <w:rFonts w:ascii="Times New Roman" w:hAnsi="Times New Roman"/>
          <w:color w:val="000000"/>
          <w:sz w:val="20"/>
          <w:u w:val="single"/>
        </w:rPr>
        <w:t>Jurisdiction</w:t>
      </w:r>
      <w:r>
        <w:rPr>
          <w:rFonts w:ascii="Times New Roman" w:hAnsi="Times New Roman"/>
          <w:color w:val="000000"/>
          <w:sz w:val="20"/>
        </w:rPr>
        <w:t>. All questions concerning the construction, validity, enforcement and interpretation of this Warrant shall be determined in accordance with the provisions of the Purchase Agreement.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f)</w:t>
      </w:r>
      <w:r>
        <w:rPr>
          <w:rFonts w:ascii="Times New Roman;Times;serif" w:hAnsi="Times New Roman;Times;serif"/>
          <w:color w:val="000000"/>
          <w:sz w:val="20"/>
        </w:rPr>
        <w:t>          </w:t>
      </w:r>
      <w:r>
        <w:rPr>
          <w:rFonts w:ascii="Times New Roman" w:hAnsi="Times New Roman"/>
          <w:color w:val="000000"/>
          <w:sz w:val="20"/>
          <w:u w:val="single"/>
        </w:rPr>
        <w:t>Restrictions</w:t>
      </w:r>
      <w:r>
        <w:rPr>
          <w:rFonts w:ascii="Times New Roman" w:hAnsi="Times New Roman"/>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g)</w:t>
      </w:r>
      <w:r>
        <w:rPr>
          <w:rFonts w:ascii="Times New Roman;Times;serif" w:hAnsi="Times New Roman;Times;serif"/>
          <w:color w:val="000000"/>
          <w:sz w:val="20"/>
        </w:rPr>
        <w:t>          </w:t>
      </w:r>
      <w:r>
        <w:rPr>
          <w:rFonts w:ascii="Times New Roman" w:hAnsi="Times New Roman"/>
          <w:color w:val="000000"/>
          <w:sz w:val="20"/>
          <w:u w:val="single"/>
        </w:rPr>
        <w:t>Nonwaiver and Expenses</w:t>
      </w:r>
      <w:r>
        <w:rPr>
          <w:rFonts w:ascii="Times New Roman" w:hAnsi="Times New Roman"/>
          <w:color w:val="000000"/>
          <w:sz w:val="20"/>
        </w:rPr>
        <w:t>.  No course of dealing or any delay or failure to exercise any right hereunder on the part of the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h)</w:t>
      </w:r>
      <w:r>
        <w:rPr>
          <w:rFonts w:ascii="Times New Roman;Times;serif" w:hAnsi="Times New Roman;Times;serif"/>
          <w:color w:val="000000"/>
          <w:sz w:val="20"/>
        </w:rPr>
        <w:t xml:space="preserve">          </w:t>
      </w:r>
      <w:r>
        <w:rPr>
          <w:rFonts w:ascii="Times New Roman" w:hAnsi="Times New Roman"/>
          <w:color w:val="000000"/>
          <w:sz w:val="20"/>
          <w:u w:val="single"/>
        </w:rPr>
        <w:t>Notices</w:t>
      </w:r>
      <w:r>
        <w:rPr>
          <w:rFonts w:ascii="Times New Roman" w:hAnsi="Times New Roman"/>
          <w:color w:val="000000"/>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i)</w:t>
      </w:r>
      <w:r>
        <w:rPr>
          <w:rFonts w:ascii="Times New Roman;Times;serif" w:hAnsi="Times New Roman;Times;serif"/>
          <w:color w:val="000000"/>
          <w:sz w:val="20"/>
        </w:rPr>
        <w:t xml:space="preserve">           </w:t>
      </w:r>
      <w:r>
        <w:rPr>
          <w:rFonts w:ascii="Times New Roman" w:hAnsi="Times New Roman"/>
          <w:color w:val="000000"/>
          <w:sz w:val="20"/>
          <w:u w:val="single"/>
        </w:rPr>
        <w:t>Limitation of Liability</w:t>
      </w:r>
      <w:r>
        <w:rPr>
          <w:rFonts w:ascii="Times New Roman" w:hAnsi="Times New Roman"/>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j)</w:t>
      </w:r>
      <w:r>
        <w:rPr>
          <w:rFonts w:ascii="Times New Roman;Times;serif" w:hAnsi="Times New Roman;Times;serif"/>
          <w:color w:val="000000"/>
          <w:sz w:val="20"/>
        </w:rPr>
        <w:t xml:space="preserve">           </w:t>
      </w:r>
      <w:r>
        <w:rPr>
          <w:rFonts w:ascii="Times New Roman" w:hAnsi="Times New Roman"/>
          <w:color w:val="000000"/>
          <w:sz w:val="20"/>
          <w:u w:val="single"/>
        </w:rPr>
        <w:t>Remedies</w:t>
      </w:r>
      <w:r>
        <w:rPr>
          <w:rFonts w:ascii="Times New Roman" w:hAnsi="Times New Roman"/>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k)</w:t>
      </w:r>
      <w:r>
        <w:rPr>
          <w:rFonts w:ascii="Times New Roman;Times;serif" w:hAnsi="Times New Roman;Times;serif"/>
          <w:color w:val="000000"/>
          <w:sz w:val="20"/>
        </w:rPr>
        <w:t>          </w:t>
      </w:r>
      <w:r>
        <w:rPr>
          <w:rFonts w:ascii="Times New Roman" w:hAnsi="Times New Roman"/>
          <w:color w:val="000000"/>
          <w:sz w:val="20"/>
          <w:u w:val="single"/>
        </w:rPr>
        <w:t>Successors and Assigns</w:t>
      </w:r>
      <w:r>
        <w:rPr>
          <w:rFonts w:ascii="Times New Roman" w:hAnsi="Times New Roman"/>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l)</w:t>
      </w:r>
      <w:r>
        <w:rPr>
          <w:rFonts w:ascii="Times New Roman;Times;serif" w:hAnsi="Times New Roman;Times;serif"/>
          <w:color w:val="000000"/>
          <w:sz w:val="20"/>
        </w:rPr>
        <w:t xml:space="preserve">           </w:t>
      </w:r>
      <w:r>
        <w:rPr>
          <w:rFonts w:ascii="Times New Roman" w:hAnsi="Times New Roman"/>
          <w:color w:val="000000"/>
          <w:sz w:val="20"/>
          <w:u w:val="single"/>
        </w:rPr>
        <w:t>Amendment</w:t>
      </w:r>
      <w:r>
        <w:rPr>
          <w:rFonts w:ascii="Times New Roman" w:hAnsi="Times New Roman"/>
          <w:color w:val="000000"/>
          <w:sz w:val="20"/>
        </w:rPr>
        <w:t>.  This Warrant may be modified or amended or the provisions hereof waived with the written consent of the Company and the Holder (or the beneficial owner of this Warrant).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m)</w:t>
      </w:r>
      <w:r>
        <w:rPr>
          <w:rFonts w:ascii="Times New Roman;Times;serif" w:hAnsi="Times New Roman;Times;serif"/>
          <w:color w:val="000000"/>
          <w:sz w:val="20"/>
        </w:rPr>
        <w:t xml:space="preserve">        </w:t>
      </w:r>
      <w:r>
        <w:rPr>
          <w:rFonts w:ascii="Times New Roman" w:hAnsi="Times New Roman"/>
          <w:color w:val="000000"/>
          <w:sz w:val="20"/>
          <w:u w:val="single"/>
        </w:rPr>
        <w:t>Severability</w:t>
      </w:r>
      <w:r>
        <w:rPr>
          <w:rFonts w:ascii="Times New Roman" w:hAnsi="Times New Roman"/>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n)</w:t>
      </w:r>
      <w:r>
        <w:rPr>
          <w:rFonts w:ascii="Times New Roman;Times;serif" w:hAnsi="Times New Roman;Times;serif"/>
          <w:color w:val="000000"/>
          <w:sz w:val="20"/>
        </w:rPr>
        <w:t>          </w:t>
      </w:r>
      <w:r>
        <w:rPr>
          <w:rFonts w:ascii="Times New Roman" w:hAnsi="Times New Roman"/>
          <w:color w:val="000000"/>
          <w:sz w:val="20"/>
          <w:u w:val="single"/>
        </w:rPr>
        <w:t>Headings</w:t>
      </w:r>
      <w:r>
        <w:rPr>
          <w:rFonts w:ascii="Times New Roman" w:hAnsi="Times New Roman"/>
          <w:color w:val="000000"/>
          <w:sz w:val="20"/>
        </w:rPr>
        <w:t>.  The headings used in this Warrant are for the convenience of reference only and shall not, for any purpose, be deemed a part of this Warrant.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spacing w:before="0" w:after="0"/>
        <w:jc w:val="center"/>
        <w:rPr>
          <w:rFonts w:ascii="Times New Roman" w:hAnsi="Times New Roman"/>
          <w:i/>
          <w:sz w:val="20"/>
        </w:rPr>
      </w:pPr>
      <w:r>
        <w:rPr>
          <w:rFonts w:ascii="Times New Roman" w:hAnsi="Times New Roman"/>
          <w:i/>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IN WITNESS WHEREOF, the Company has caused this Warrant to be executed by its officer thereunto duly authorized as of the date first above indicated.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1" w:name="ze4b34351c0564ce89da609d8a1556f90"/>
      <w:bookmarkStart w:id="92" w:name="ze4b34351c0564ce89da609d8a1556f90"/>
      <w:bookmarkEnd w:id="92"/>
    </w:p>
    <w:tbl>
      <w:tblPr>
        <w:tblW w:w="3769" w:type="dxa"/>
        <w:jc w:val="left"/>
        <w:tblInd w:w="0" w:type="dxa"/>
        <w:tblLayout w:type="fixed"/>
        <w:tblCellMar>
          <w:top w:w="0" w:type="dxa"/>
          <w:left w:w="0" w:type="dxa"/>
          <w:bottom w:w="0" w:type="dxa"/>
          <w:right w:w="0" w:type="dxa"/>
        </w:tblCellMar>
      </w:tblPr>
      <w:tblGrid>
        <w:gridCol w:w="60"/>
        <w:gridCol w:w="1292"/>
        <w:gridCol w:w="2417"/>
      </w:tblGrid>
      <w:tr>
        <w:trPr/>
        <w:tc>
          <w:tcPr>
            <w:tcW w:w="60"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NEIGHBORHOOD INTELLIGENCE, INC.</w:t>
            </w:r>
          </w:p>
        </w:tc>
      </w:tr>
      <w:tr>
        <w:trPr/>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241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241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241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w:t>
            </w:r>
          </w:p>
        </w:tc>
      </w:tr>
      <w:tr>
        <w:trPr/>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241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NOTICE OF EXERCISE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3" w:name="z817dc53986954846a90f3f18142572aa"/>
      <w:bookmarkStart w:id="94" w:name="z817dc53986954846a90f3f18142572aa"/>
      <w:bookmarkEnd w:id="94"/>
    </w:p>
    <w:tbl>
      <w:tblPr>
        <w:tblW w:w="3805" w:type="dxa"/>
        <w:jc w:val="left"/>
        <w:tblInd w:w="0" w:type="dxa"/>
        <w:tblLayout w:type="fixed"/>
        <w:tblCellMar>
          <w:top w:w="0" w:type="dxa"/>
          <w:left w:w="0" w:type="dxa"/>
          <w:bottom w:w="0" w:type="dxa"/>
          <w:right w:w="0" w:type="dxa"/>
        </w:tblCellMar>
      </w:tblPr>
      <w:tblGrid>
        <w:gridCol w:w="350"/>
        <w:gridCol w:w="3455"/>
      </w:tblGrid>
      <w:tr>
        <w:trPr/>
        <w:tc>
          <w:tcPr>
            <w:tcW w:w="3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TO:</w:t>
            </w:r>
          </w:p>
        </w:tc>
        <w:tc>
          <w:tcPr>
            <w:tcW w:w="3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NEIGHBORHOOD INTELLIGENCE, INC.</w:t>
            </w:r>
          </w:p>
        </w:tc>
      </w:tr>
    </w:tbl>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 w:hAnsi="Times New Roman"/>
          <w:color w:val="000000"/>
          <w:sz w:val="20"/>
        </w:rPr>
        <w:t>(1)</w:t>
      </w:r>
      <w:r>
        <w:rPr>
          <w:rFonts w:ascii="Times New Roman;Times;serif" w:hAnsi="Times New Roman;Times;serif"/>
          <w:color w:val="000000"/>
          <w:sz w:val="20"/>
        </w:rPr>
        <w:t xml:space="preserve">        </w:t>
      </w:r>
      <w:r>
        <w:rPr>
          <w:rFonts w:ascii="Times New Roman" w:hAnsi="Times New Roman"/>
          <w:color w:val="000000"/>
          <w:sz w:val="20"/>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 w:hAnsi="Times New Roman"/>
          <w:color w:val="000000"/>
          <w:sz w:val="20"/>
        </w:rPr>
        <w:t>(2)</w:t>
      </w:r>
      <w:r>
        <w:rPr>
          <w:rFonts w:ascii="Times New Roman;Times;serif" w:hAnsi="Times New Roman;Times;serif"/>
          <w:color w:val="000000"/>
          <w:sz w:val="20"/>
        </w:rPr>
        <w:t xml:space="preserve">         </w:t>
      </w:r>
      <w:r>
        <w:rPr>
          <w:rFonts w:ascii="Times New Roman" w:hAnsi="Times New Roman"/>
          <w:color w:val="000000"/>
          <w:sz w:val="20"/>
        </w:rPr>
        <w:t>Payment shall take the form of (check applicable box):</w:t>
      </w:r>
    </w:p>
    <w:p>
      <w:pPr>
        <w:pStyle w:val="TextBody"/>
        <w:bidi w:val="0"/>
        <w:spacing w:before="0" w:after="0"/>
        <w:jc w:val="left"/>
        <w:rPr>
          <w:sz w:val="20"/>
        </w:rPr>
      </w:pPr>
      <w:r>
        <w:rPr>
          <w:sz w:val="20"/>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  ] in lawful money of the United States; or</w:t>
      </w:r>
    </w:p>
    <w:p>
      <w:pPr>
        <w:pStyle w:val="TextBody"/>
        <w:bidi w:val="0"/>
        <w:spacing w:before="0" w:after="0"/>
        <w:ind w:left="1440" w:right="0" w:hanging="0"/>
        <w:jc w:val="both"/>
        <w:rPr>
          <w:rFonts w:ascii="Times New Roman" w:hAnsi="Times New Roman"/>
          <w:sz w:val="20"/>
        </w:rPr>
      </w:pPr>
      <w:r>
        <w:rPr>
          <w:rFonts w:ascii="Times New Roman" w:hAnsi="Times New Roman"/>
          <w:sz w:val="20"/>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 ]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 w:hAnsi="Times New Roman"/>
          <w:color w:val="000000"/>
          <w:sz w:val="20"/>
        </w:rPr>
        <w:t>(3)</w:t>
      </w:r>
      <w:r>
        <w:rPr>
          <w:rFonts w:ascii="Times New Roman;Times;serif" w:hAnsi="Times New Roman;Times;serif"/>
          <w:color w:val="000000"/>
          <w:sz w:val="20"/>
        </w:rPr>
        <w:t xml:space="preserve">         </w:t>
      </w:r>
      <w:r>
        <w:rPr>
          <w:rFonts w:ascii="Times New Roman" w:hAnsi="Times New Roman"/>
          <w:color w:val="000000"/>
          <w:sz w:val="20"/>
        </w:rPr>
        <w:t>Please issue said Warrant Shares in the name of the undersigned or in such other name as is specified below:</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5" w:name="z5f1ebfb656a04b6d81dd1104acec5918"/>
      <w:bookmarkStart w:id="96" w:name="z5f1ebfb656a04b6d81dd1104acec5918"/>
      <w:bookmarkEnd w:id="96"/>
    </w:p>
    <w:tbl>
      <w:tblPr>
        <w:tblW w:w="99" w:type="dxa"/>
        <w:jc w:val="left"/>
        <w:tblInd w:w="0" w:type="dxa"/>
        <w:tblLayout w:type="fixed"/>
        <w:tblCellMar>
          <w:top w:w="0" w:type="dxa"/>
          <w:left w:w="0" w:type="dxa"/>
          <w:bottom w:w="0" w:type="dxa"/>
          <w:right w:w="0" w:type="dxa"/>
        </w:tblCellMar>
      </w:tblPr>
      <w:tblGrid>
        <w:gridCol w:w="38"/>
        <w:gridCol w:w="23"/>
        <w:gridCol w:w="38"/>
      </w:tblGrid>
      <w:tr>
        <w:trPr/>
        <w:tc>
          <w:tcPr>
            <w:tcW w:w="38"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38" w:type="dxa"/>
            <w:tcBorders/>
            <w:vAlign w:val="center"/>
          </w:tcPr>
          <w:p>
            <w:pPr>
              <w:pStyle w:val="TableContents"/>
              <w:bidi w:val="0"/>
              <w:spacing w:before="0" w:after="283"/>
              <w:jc w:val="left"/>
              <w:rPr/>
            </w:pPr>
            <w:r>
              <w:rPr/>
            </w:r>
          </w:p>
        </w:tc>
      </w:tr>
      <w:tr>
        <w:trPr/>
        <w:tc>
          <w:tcPr>
            <w:tcW w:w="38"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8"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Warrant Shares shall be delivered to the following DWAC Account Number:</w:t>
      </w:r>
    </w:p>
    <w:p>
      <w:pPr>
        <w:pStyle w:val="TextBody"/>
        <w:bidi w:val="0"/>
        <w:spacing w:before="0" w:after="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97" w:name="z42ce54b41f914b99999a599ef1ec11ae"/>
      <w:bookmarkStart w:id="98" w:name="z42ce54b41f914b99999a599ef1ec11ae"/>
      <w:bookmarkEnd w:id="98"/>
    </w:p>
    <w:tbl>
      <w:tblPr>
        <w:tblW w:w="69" w:type="dxa"/>
        <w:jc w:val="left"/>
        <w:tblInd w:w="0" w:type="dxa"/>
        <w:tblLayout w:type="fixed"/>
        <w:tblCellMar>
          <w:top w:w="0" w:type="dxa"/>
          <w:left w:w="0" w:type="dxa"/>
          <w:bottom w:w="0" w:type="dxa"/>
          <w:right w:w="0" w:type="dxa"/>
        </w:tblCellMar>
      </w:tblPr>
      <w:tblGrid>
        <w:gridCol w:w="23"/>
        <w:gridCol w:w="23"/>
        <w:gridCol w:w="23"/>
      </w:tblGrid>
      <w:tr>
        <w:trPr/>
        <w:tc>
          <w:tcPr>
            <w:tcW w:w="23"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[SIGNATURE OF HOLDER]</w:t>
      </w:r>
    </w:p>
    <w:p>
      <w:pPr>
        <w:pStyle w:val="TextBody"/>
        <w:bidi w:val="0"/>
        <w:spacing w:before="0" w:after="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99" w:name="z5577d8797a9742298a947607d7b70ce1"/>
      <w:bookmarkStart w:id="100" w:name="z5577d8797a9742298a947607d7b70ce1"/>
      <w:bookmarkEnd w:id="100"/>
    </w:p>
    <w:tbl>
      <w:tblPr>
        <w:tblW w:w="2210" w:type="dxa"/>
        <w:jc w:val="left"/>
        <w:tblInd w:w="0" w:type="dxa"/>
        <w:tblLayout w:type="fixed"/>
        <w:tblCellMar>
          <w:top w:w="0" w:type="dxa"/>
          <w:left w:w="0" w:type="dxa"/>
          <w:bottom w:w="0" w:type="dxa"/>
          <w:right w:w="0" w:type="dxa"/>
        </w:tblCellMar>
      </w:tblPr>
      <w:tblGrid>
        <w:gridCol w:w="2135"/>
        <w:gridCol w:w="75"/>
      </w:tblGrid>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of Investing Entity: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01" w:name="z5ff8342711f44aca969844ed4a242c37"/>
      <w:bookmarkStart w:id="102" w:name="z5ff8342711f44aca969844ed4a242c37"/>
      <w:bookmarkEnd w:id="102"/>
    </w:p>
    <w:tbl>
      <w:tblPr>
        <w:tblW w:w="4505" w:type="dxa"/>
        <w:jc w:val="left"/>
        <w:tblInd w:w="0" w:type="dxa"/>
        <w:tblLayout w:type="fixed"/>
        <w:tblCellMar>
          <w:top w:w="0" w:type="dxa"/>
          <w:left w:w="0" w:type="dxa"/>
          <w:bottom w:w="0" w:type="dxa"/>
          <w:right w:w="0" w:type="dxa"/>
        </w:tblCellMar>
      </w:tblPr>
      <w:tblGrid>
        <w:gridCol w:w="4445"/>
        <w:gridCol w:w="60"/>
      </w:tblGrid>
      <w:tr>
        <w:trPr/>
        <w:tc>
          <w:tcPr>
            <w:tcW w:w="4445" w:type="dxa"/>
            <w:tcBorders/>
            <w:vAlign w:val="center"/>
          </w:tcPr>
          <w:p>
            <w:pPr>
              <w:pStyle w:val="TableContents"/>
              <w:bidi w:val="0"/>
              <w:spacing w:before="0" w:after="0"/>
              <w:jc w:val="left"/>
              <w:rPr>
                <w:rFonts w:ascii="Times New Roman" w:hAnsi="Times New Roman"/>
                <w:sz w:val="24"/>
              </w:rPr>
            </w:pPr>
            <w:r>
              <w:rPr>
                <w:rFonts w:ascii="Times New Roman" w:hAnsi="Times New Roman"/>
                <w:i/>
                <w:sz w:val="20"/>
              </w:rPr>
              <w:t>Signature of Authorized Signatory of Investing Entity</w:t>
            </w:r>
            <w:r>
              <w:rPr>
                <w:rFonts w:ascii="Times New Roman" w:hAnsi="Times New Roman"/>
                <w:sz w:val="20"/>
              </w:rPr>
              <w:t>:</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03" w:name="zb9c2163048ea4cb1a649e1ac424bdf0b"/>
      <w:bookmarkStart w:id="104" w:name="zb9c2163048ea4cb1a649e1ac424bdf0b"/>
      <w:bookmarkEnd w:id="104"/>
    </w:p>
    <w:tbl>
      <w:tblPr>
        <w:tblW w:w="2645" w:type="dxa"/>
        <w:jc w:val="left"/>
        <w:tblInd w:w="0" w:type="dxa"/>
        <w:tblLayout w:type="fixed"/>
        <w:tblCellMar>
          <w:top w:w="0" w:type="dxa"/>
          <w:left w:w="0" w:type="dxa"/>
          <w:bottom w:w="0" w:type="dxa"/>
          <w:right w:w="0" w:type="dxa"/>
        </w:tblCellMar>
      </w:tblPr>
      <w:tblGrid>
        <w:gridCol w:w="2570"/>
        <w:gridCol w:w="75"/>
      </w:tblGrid>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of Authorized Signatory: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05" w:name="zd7c7399a859d4593a4c9e9b6497fae37"/>
      <w:bookmarkStart w:id="106" w:name="zd7c7399a859d4593a4c9e9b6497fae37"/>
      <w:bookmarkEnd w:id="106"/>
    </w:p>
    <w:tbl>
      <w:tblPr>
        <w:tblW w:w="2540" w:type="dxa"/>
        <w:jc w:val="left"/>
        <w:tblInd w:w="0" w:type="dxa"/>
        <w:tblLayout w:type="fixed"/>
        <w:tblCellMar>
          <w:top w:w="0" w:type="dxa"/>
          <w:left w:w="0" w:type="dxa"/>
          <w:bottom w:w="0" w:type="dxa"/>
          <w:right w:w="0" w:type="dxa"/>
        </w:tblCellMar>
      </w:tblPr>
      <w:tblGrid>
        <w:gridCol w:w="2480"/>
        <w:gridCol w:w="60"/>
      </w:tblGrid>
      <w:tr>
        <w:trPr/>
        <w:tc>
          <w:tcPr>
            <w:tcW w:w="2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of Authorized Signatory: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07" w:name="z6f9fbb6fd53740ec8145672bd891207b"/>
      <w:bookmarkStart w:id="108" w:name="z6f9fbb6fd53740ec8145672bd891207b"/>
      <w:bookmarkEnd w:id="108"/>
    </w:p>
    <w:tbl>
      <w:tblPr>
        <w:tblW w:w="515" w:type="dxa"/>
        <w:jc w:val="left"/>
        <w:tblInd w:w="0" w:type="dxa"/>
        <w:tblLayout w:type="fixed"/>
        <w:tblCellMar>
          <w:top w:w="0" w:type="dxa"/>
          <w:left w:w="0" w:type="dxa"/>
          <w:bottom w:w="0" w:type="dxa"/>
          <w:right w:w="0" w:type="dxa"/>
        </w:tblCellMar>
      </w:tblPr>
      <w:tblGrid>
        <w:gridCol w:w="455"/>
        <w:gridCol w:w="60"/>
      </w:tblGrid>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B</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bookmarkStart w:id="109" w:name="z_DV_M1611"/>
      <w:bookmarkEnd w:id="109"/>
      <w:r>
        <w:rPr>
          <w:rFonts w:ascii="Times New Roman" w:hAnsi="Times New Roman"/>
          <w:color w:val="000000"/>
          <w:sz w:val="20"/>
        </w:rPr>
        <w:t>ASSIGNMENT FORM</w:t>
      </w:r>
    </w:p>
    <w:p>
      <w:pPr>
        <w:pStyle w:val="TextBody"/>
        <w:bidi w:val="0"/>
        <w:spacing w:before="0" w:after="0"/>
        <w:jc w:val="left"/>
        <w:rPr>
          <w:sz w:val="20"/>
        </w:rPr>
      </w:pPr>
      <w:r>
        <w:rPr>
          <w:sz w:val="20"/>
        </w:rPr>
      </w:r>
    </w:p>
    <w:p>
      <w:pPr>
        <w:pStyle w:val="TextBody"/>
        <w:bidi w:val="0"/>
        <w:spacing w:before="0" w:after="0"/>
        <w:ind w:left="0" w:right="0" w:firstLine="210"/>
        <w:jc w:val="both"/>
        <w:rPr>
          <w:color w:val="000000"/>
        </w:rPr>
      </w:pPr>
      <w:bookmarkStart w:id="110" w:name="z_DV_M1621"/>
      <w:bookmarkEnd w:id="110"/>
      <w:r>
        <w:rPr>
          <w:color w:val="000000"/>
        </w:rPr>
        <w:t> </w:t>
      </w:r>
      <w:r>
        <w:rPr>
          <w:rFonts w:ascii="Times New Roman" w:hAnsi="Times New Roman"/>
          <w:i/>
          <w:color w:val="000000"/>
          <w:sz w:val="20"/>
        </w:rPr>
        <w:t>(To assign the foregoing Warrant, execute this form and supply required information.  Do not use this form to purchase shares.)</w:t>
      </w:r>
    </w:p>
    <w:p>
      <w:pPr>
        <w:pStyle w:val="TextBody"/>
        <w:bidi w:val="0"/>
        <w:spacing w:before="0" w:after="0"/>
        <w:ind w:left="0" w:right="0" w:firstLine="210"/>
        <w:jc w:val="both"/>
        <w:rPr>
          <w:rFonts w:ascii="Times New Roman" w:hAnsi="Times New Roman"/>
          <w:color w:val="000000"/>
          <w:sz w:val="20"/>
        </w:rPr>
      </w:pPr>
      <w:bookmarkStart w:id="111" w:name="z_DV_M1631"/>
      <w:bookmarkEnd w:id="111"/>
      <w:r>
        <w:rPr>
          <w:rFonts w:ascii="Times New Roman" w:hAnsi="Times New Roman"/>
          <w:color w:val="000000"/>
          <w:sz w:val="20"/>
        </w:rPr>
        <w:t>FOR VALUE RECEIVED, the foregoing Warrant and all rights evidenced thereby are hereby assigned to</w:t>
      </w:r>
    </w:p>
    <w:p>
      <w:pPr>
        <w:pStyle w:val="TextBody"/>
        <w:bidi w:val="0"/>
        <w:spacing w:before="0" w:after="0"/>
        <w:ind w:left="0" w:right="0" w:firstLine="210"/>
        <w:jc w:val="both"/>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112" w:name="z20f47facd2164d8a945610bdc3b04688"/>
      <w:bookmarkStart w:id="113" w:name="z20f47facd2164d8a945610bdc3b04688"/>
      <w:bookmarkEnd w:id="113"/>
    </w:p>
    <w:tbl>
      <w:tblPr>
        <w:tblW w:w="2395" w:type="dxa"/>
        <w:jc w:val="left"/>
        <w:tblInd w:w="0" w:type="dxa"/>
        <w:tblLayout w:type="fixed"/>
        <w:tblCellMar>
          <w:top w:w="0" w:type="dxa"/>
          <w:left w:w="0" w:type="dxa"/>
          <w:bottom w:w="0" w:type="dxa"/>
          <w:right w:w="0" w:type="dxa"/>
        </w:tblCellMar>
      </w:tblPr>
      <w:tblGrid>
        <w:gridCol w:w="1295"/>
        <w:gridCol w:w="1100"/>
      </w:tblGrid>
      <w:tr>
        <w:trPr/>
        <w:tc>
          <w:tcPr>
            <w:tcW w:w="1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Name:</w:t>
            </w:r>
          </w:p>
        </w:tc>
        <w:tc>
          <w:tcPr>
            <w:tcW w:w="110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(Please Print)</w:t>
            </w:r>
          </w:p>
        </w:tc>
      </w:tr>
      <w:tr>
        <w:trPr/>
        <w:tc>
          <w:tcPr>
            <w:tcW w:w="1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Address:</w:t>
            </w:r>
          </w:p>
        </w:tc>
        <w:tc>
          <w:tcPr>
            <w:tcW w:w="110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(Please Print)</w:t>
            </w:r>
          </w:p>
        </w:tc>
      </w:tr>
      <w:tr>
        <w:trPr/>
        <w:tc>
          <w:tcPr>
            <w:tcW w:w="1295" w:type="dxa"/>
            <w:tcBorders/>
            <w:vAlign w:val="center"/>
          </w:tcPr>
          <w:p>
            <w:pPr>
              <w:pStyle w:val="TableContents"/>
              <w:bidi w:val="0"/>
              <w:spacing w:before="0" w:after="283"/>
              <w:jc w:val="left"/>
              <w:rPr/>
            </w:pPr>
            <w:r>
              <w:rPr/>
            </w:r>
          </w:p>
        </w:tc>
        <w:tc>
          <w:tcPr>
            <w:tcW w:w="1100" w:type="dxa"/>
            <w:tcBorders/>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Phone Number:</w:t>
            </w:r>
          </w:p>
        </w:tc>
        <w:tc>
          <w:tcPr>
            <w:tcW w:w="110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Email Address:</w:t>
            </w:r>
          </w:p>
        </w:tc>
        <w:tc>
          <w:tcPr>
            <w:tcW w:w="1100" w:type="dxa"/>
            <w:tcBorders>
              <w:bottom w:val="single" w:sz="12" w:space="0" w:color="000000"/>
            </w:tcBorders>
            <w:tcMar>
              <w:bottom w:w="28" w:type="dxa"/>
            </w:tcMar>
            <w:vAlign w:val="center"/>
          </w:tcPr>
          <w:p>
            <w:pPr>
              <w:pStyle w:val="TableContents"/>
              <w:bidi w:val="0"/>
              <w:spacing w:before="0" w:after="283"/>
              <w:jc w:val="left"/>
              <w:rPr/>
            </w:pPr>
            <w:r>
              <w:rPr/>
            </w:r>
          </w:p>
        </w:tc>
      </w:tr>
      <w:tr>
        <w:trPr/>
        <w:tc>
          <w:tcPr>
            <w:tcW w:w="129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14" w:name="zabdefd5f532849dab82b701576fe869d"/>
      <w:bookmarkStart w:id="115" w:name="zabdefd5f532849dab82b701576fe869d"/>
      <w:bookmarkEnd w:id="115"/>
    </w:p>
    <w:tbl>
      <w:tblPr>
        <w:tblW w:w="680" w:type="dxa"/>
        <w:jc w:val="left"/>
        <w:tblInd w:w="0" w:type="dxa"/>
        <w:tblLayout w:type="fixed"/>
        <w:tblCellMar>
          <w:top w:w="0" w:type="dxa"/>
          <w:left w:w="0" w:type="dxa"/>
          <w:bottom w:w="0" w:type="dxa"/>
          <w:right w:w="0" w:type="dxa"/>
        </w:tblCellMar>
      </w:tblPr>
      <w:tblGrid>
        <w:gridCol w:w="560"/>
        <w:gridCol w:w="60"/>
        <w:gridCol w:w="60"/>
      </w:tblGrid>
      <w:tr>
        <w:trPr/>
        <w:tc>
          <w:tcPr>
            <w:tcW w:w="56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16" w:name="z455ee7a2a89e498c8972d7d7444b07e8"/>
      <w:bookmarkStart w:id="117" w:name="z455ee7a2a89e498c8972d7d7444b07e8"/>
      <w:bookmarkEnd w:id="117"/>
    </w:p>
    <w:tbl>
      <w:tblPr>
        <w:tblW w:w="1715" w:type="dxa"/>
        <w:jc w:val="left"/>
        <w:tblInd w:w="0" w:type="dxa"/>
        <w:tblLayout w:type="fixed"/>
        <w:tblCellMar>
          <w:top w:w="0" w:type="dxa"/>
          <w:left w:w="0" w:type="dxa"/>
          <w:bottom w:w="0" w:type="dxa"/>
          <w:right w:w="0" w:type="dxa"/>
        </w:tblCellMar>
      </w:tblPr>
      <w:tblGrid>
        <w:gridCol w:w="1595"/>
        <w:gridCol w:w="60"/>
        <w:gridCol w:w="60"/>
      </w:tblGrid>
      <w:tr>
        <w:trPr/>
        <w:tc>
          <w:tcPr>
            <w:tcW w:w="15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Holder’s Signature:</w:t>
            </w:r>
          </w:p>
        </w:tc>
        <w:tc>
          <w:tcPr>
            <w:tcW w:w="60"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18" w:name="za22f707be8734d28ae9dfe7f8e477575"/>
      <w:bookmarkStart w:id="119" w:name="za22f707be8734d28ae9dfe7f8e477575"/>
      <w:bookmarkEnd w:id="119"/>
    </w:p>
    <w:tbl>
      <w:tblPr>
        <w:tblW w:w="1536" w:type="dxa"/>
        <w:jc w:val="left"/>
        <w:tblInd w:w="0" w:type="dxa"/>
        <w:tblLayout w:type="fixed"/>
        <w:tblCellMar>
          <w:top w:w="0" w:type="dxa"/>
          <w:left w:w="0" w:type="dxa"/>
          <w:bottom w:w="0" w:type="dxa"/>
          <w:right w:w="0" w:type="dxa"/>
        </w:tblCellMar>
      </w:tblPr>
      <w:tblGrid>
        <w:gridCol w:w="1475"/>
        <w:gridCol w:w="23"/>
        <w:gridCol w:w="38"/>
      </w:tblGrid>
      <w:tr>
        <w:trPr/>
        <w:tc>
          <w:tcPr>
            <w:tcW w:w="147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Holder’s Address:</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38"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20" w:name="ef20083313_ex4-3.htm"/>
      <w:bookmarkStart w:id="121" w:name="ksef20083313_ex43"/>
      <w:bookmarkStart w:id="122" w:name="ef20083313_ex4-3.htm"/>
      <w:bookmarkStart w:id="123" w:name="ksef20083313_ex43"/>
      <w:bookmarkEnd w:id="122"/>
      <w:bookmarkEnd w:id="12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4.3</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PLACEMENT AGENT COMMON STOCK PURCHASE WARRANT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NEIGHBORHOOD INTELLIGENCE, INC.</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4" w:name="z7db6b84f22bf44909c875dc323ec1837"/>
      <w:bookmarkStart w:id="125" w:name="z7db6b84f22bf44909c875dc323ec1837"/>
      <w:bookmarkEnd w:id="125"/>
    </w:p>
    <w:tbl>
      <w:tblPr>
        <w:tblW w:w="3190" w:type="dxa"/>
        <w:jc w:val="left"/>
        <w:tblInd w:w="0" w:type="dxa"/>
        <w:tblLayout w:type="fixed"/>
        <w:tblCellMar>
          <w:top w:w="0" w:type="dxa"/>
          <w:left w:w="0" w:type="dxa"/>
          <w:bottom w:w="0" w:type="dxa"/>
          <w:right w:w="0" w:type="dxa"/>
        </w:tblCellMar>
      </w:tblPr>
      <w:tblGrid>
        <w:gridCol w:w="1535"/>
        <w:gridCol w:w="1655"/>
      </w:tblGrid>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Warrant Shares: [•]</w:t>
            </w:r>
          </w:p>
        </w:tc>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Issue Date: [•], 2026</w:t>
            </w:r>
          </w:p>
        </w:tc>
      </w:tr>
    </w:tbl>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THIS PLACEMENT AGENT COMMON STOCK PURCHASE WARRANT (the “</w:t>
      </w:r>
      <w:r>
        <w:rPr>
          <w:rFonts w:ascii="Times New Roman" w:hAnsi="Times New Roman"/>
          <w:color w:val="000000"/>
          <w:sz w:val="20"/>
          <w:u w:val="single"/>
        </w:rPr>
        <w:t>Warrant</w:t>
      </w:r>
      <w:r>
        <w:rPr>
          <w:rFonts w:ascii="Times New Roman" w:hAnsi="Times New Roman"/>
          <w:color w:val="000000"/>
          <w:sz w:val="20"/>
        </w:rPr>
        <w:t>”) certifies that, for value received, _____________ or its assigns (the “</w:t>
      </w:r>
      <w:r>
        <w:rPr>
          <w:rFonts w:ascii="Times New Roman" w:hAnsi="Times New Roman"/>
          <w:color w:val="000000"/>
          <w:sz w:val="20"/>
          <w:u w:val="single"/>
        </w:rPr>
        <w:t>Holder</w:t>
      </w:r>
      <w:r>
        <w:rPr>
          <w:rFonts w:ascii="Times New Roman" w:hAnsi="Times New Roman"/>
          <w:color w:val="000000"/>
          <w:sz w:val="20"/>
        </w:rPr>
        <w:t>”) is entitled, upon the terms and subject to the limitations on exercise and the conditions hereinafter set forth, at any time on or after the six (6) month anniversary of the Issue Date (the “</w:t>
      </w:r>
      <w:r>
        <w:rPr>
          <w:rFonts w:ascii="Times New Roman" w:hAnsi="Times New Roman"/>
          <w:color w:val="000000"/>
          <w:sz w:val="20"/>
          <w:u w:val="single"/>
        </w:rPr>
        <w:t>Initial Exercise Date</w:t>
      </w:r>
      <w:r>
        <w:rPr>
          <w:rFonts w:ascii="Times New Roman" w:hAnsi="Times New Roman"/>
          <w:color w:val="000000"/>
          <w:sz w:val="20"/>
        </w:rPr>
        <w:t>”) and on or prior to 5:00 p.m. (New York City time) on October 5, 2031 (the “</w:t>
      </w:r>
      <w:r>
        <w:rPr>
          <w:rFonts w:ascii="Times New Roman" w:hAnsi="Times New Roman"/>
          <w:color w:val="000000"/>
          <w:sz w:val="20"/>
          <w:u w:val="single"/>
        </w:rPr>
        <w:t>Termination Date</w:t>
      </w:r>
      <w:r>
        <w:rPr>
          <w:rFonts w:ascii="Times New Roman" w:hAnsi="Times New Roman"/>
          <w:color w:val="000000"/>
          <w:sz w:val="20"/>
        </w:rPr>
        <w:t>”) but not thereafter, to subscribe for and purchase from Neighborhood Intelligence, Inc., a Delaware corporation (the “</w:t>
      </w:r>
      <w:r>
        <w:rPr>
          <w:rFonts w:ascii="Times New Roman" w:hAnsi="Times New Roman"/>
          <w:color w:val="000000"/>
          <w:sz w:val="20"/>
          <w:u w:val="single"/>
        </w:rPr>
        <w:t>Company</w:t>
      </w:r>
      <w:r>
        <w:rPr>
          <w:rFonts w:ascii="Times New Roman" w:hAnsi="Times New Roman"/>
          <w:color w:val="000000"/>
          <w:sz w:val="20"/>
        </w:rPr>
        <w:t>”), up to ______ shares of common stock, par value $0.0001 per share, of the Company (the “</w:t>
      </w:r>
      <w:r>
        <w:rPr>
          <w:rFonts w:ascii="Times New Roman" w:hAnsi="Times New Roman"/>
          <w:color w:val="000000"/>
          <w:sz w:val="20"/>
          <w:u w:val="single"/>
        </w:rPr>
        <w:t>Common Stock</w:t>
      </w:r>
      <w:r>
        <w:rPr>
          <w:rFonts w:ascii="Times New Roman" w:hAnsi="Times New Roman"/>
          <w:color w:val="000000"/>
          <w:sz w:val="20"/>
        </w:rPr>
        <w:t>”) (as subject to adjustment hereunder, the “</w:t>
      </w:r>
      <w:r>
        <w:rPr>
          <w:rFonts w:ascii="Times New Roman" w:hAnsi="Times New Roman"/>
          <w:color w:val="000000"/>
          <w:sz w:val="20"/>
          <w:u w:val="single"/>
        </w:rPr>
        <w:t>Warrant Shares</w:t>
      </w:r>
      <w:r>
        <w:rPr>
          <w:rFonts w:ascii="Times New Roman" w:hAnsi="Times New Roman"/>
          <w:color w:val="000000"/>
          <w:sz w:val="20"/>
        </w:rPr>
        <w:t>”). The purchase price of one share of Common Stock under this Warrant shall be equal to the Exercise Price, as defined in Section 2(b).  This Warrant is issued pursuant to that certain Engagement Agreement, by and between the Company and Rodman &amp; Renshaw LLC, dated as of October 5, 2026.</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1</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Definitions</w:t>
      </w:r>
      <w:r>
        <w:rPr>
          <w:rFonts w:ascii="Times New Roman" w:hAnsi="Times New Roman"/>
          <w:color w:val="000000"/>
          <w:sz w:val="20"/>
        </w:rPr>
        <w:t>.  Capitalized terms used and not otherwise defined herein shall have the meanings set forth in that certain Securities Purchase Agreement (the “</w:t>
      </w:r>
      <w:r>
        <w:rPr>
          <w:rFonts w:ascii="Times New Roman" w:hAnsi="Times New Roman"/>
          <w:color w:val="000000"/>
          <w:sz w:val="20"/>
          <w:u w:val="single"/>
        </w:rPr>
        <w:t>Purchase Agreement</w:t>
      </w:r>
      <w:r>
        <w:rPr>
          <w:rFonts w:ascii="Times New Roman" w:hAnsi="Times New Roman"/>
          <w:color w:val="000000"/>
          <w:sz w:val="20"/>
        </w:rPr>
        <w:t>”), dated October 5, 2026, among the Company and the purchasers signatory thereto.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2</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Exercise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w:t>
      </w:r>
      <w:r>
        <w:rPr>
          <w:rFonts w:ascii="Times New Roman" w:hAnsi="Times New Roman"/>
          <w:color w:val="000000"/>
          <w:sz w:val="20"/>
          <w:u w:val="single"/>
        </w:rPr>
        <w:t>Exercise of Warrant</w:t>
      </w:r>
      <w:r>
        <w:rPr>
          <w:rFonts w:ascii="Times New Roman" w:hAnsi="Times New Roman"/>
          <w:color w:val="000000"/>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hAnsi="Times New Roman"/>
          <w:color w:val="000000"/>
          <w:sz w:val="20"/>
          <w:u w:val="single"/>
        </w:rPr>
        <w:t>Notice of Exercise</w:t>
      </w:r>
      <w:r>
        <w:rPr>
          <w:rFonts w:ascii="Times New Roman" w:hAnsi="Times New Roman"/>
          <w:color w:val="000000"/>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hAnsi="Times New Roman"/>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xml:space="preserve">        </w:t>
      </w:r>
      <w:r>
        <w:rPr>
          <w:rFonts w:ascii="Times New Roman" w:hAnsi="Times New Roman"/>
          <w:color w:val="000000"/>
          <w:sz w:val="20"/>
          <w:u w:val="single"/>
        </w:rPr>
        <w:t>Exercise Price</w:t>
      </w:r>
      <w:r>
        <w:rPr>
          <w:rFonts w:ascii="Times New Roman" w:hAnsi="Times New Roman"/>
          <w:color w:val="000000"/>
          <w:sz w:val="20"/>
        </w:rPr>
        <w:t>.  The exercise price per share of Common Stock under this Warrant shall be $3.45 subject to adjustment hereunder (the “</w:t>
      </w:r>
      <w:r>
        <w:rPr>
          <w:rFonts w:ascii="Times New Roman" w:hAnsi="Times New Roman"/>
          <w:color w:val="000000"/>
          <w:sz w:val="20"/>
          <w:u w:val="single"/>
        </w:rPr>
        <w:t>Exercise Price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w:t>
      </w:r>
      <w:r>
        <w:rPr>
          <w:rFonts w:ascii="Times New Roman" w:hAnsi="Times New Roman"/>
          <w:color w:val="000000"/>
          <w:sz w:val="20"/>
          <w:u w:val="single"/>
        </w:rPr>
        <w:t>Cashless Exercise</w:t>
      </w:r>
      <w:r>
        <w:rPr>
          <w:rFonts w:ascii="Times New Roman" w:hAnsi="Times New Roman"/>
          <w:color w:val="000000"/>
          <w:sz w:val="20"/>
        </w:rPr>
        <w:t>. If at the time of exercise hereof there is no effective registration statement registering, or the prospectus contained therein is not available for the issuance of the Warrant Shares to the Holder, then this Warrant may also be exercised, in whole or in part, by means of a “cashless exercise” in which the Holder shall be entitled to receive a number of Warrant Shares equal to the quotient obtained by dividing [(A-B) (X)] by (A), where:</w:t>
      </w:r>
    </w:p>
    <w:p>
      <w:pPr>
        <w:pStyle w:val="TextBody"/>
        <w:bidi w:val="0"/>
        <w:spacing w:before="0" w:after="0"/>
        <w:jc w:val="left"/>
        <w:rPr>
          <w:color w:val="000000"/>
        </w:rPr>
      </w:pPr>
      <w:r>
        <w:rPr>
          <w:color w:val="000000"/>
        </w:rPr>
        <w:t> </w:t>
      </w:r>
    </w:p>
    <w:p>
      <w:pPr>
        <w:pStyle w:val="TextBody"/>
        <w:bidi w:val="0"/>
        <w:spacing w:before="0" w:after="0"/>
        <w:ind w:left="2160" w:right="0" w:hanging="720"/>
        <w:jc w:val="both"/>
        <w:rPr>
          <w:rFonts w:ascii="Times New Roman" w:hAnsi="Times New Roman"/>
          <w:color w:val="000000"/>
          <w:sz w:val="20"/>
        </w:rPr>
      </w:pPr>
      <w:r>
        <w:rPr>
          <w:rFonts w:ascii="Times New Roman" w:hAnsi="Times New Roman"/>
          <w:color w:val="000000"/>
          <w:sz w:val="20"/>
        </w:rPr>
        <w:t>(A)=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(x) the VWAP on the Trading Day immediately preceding the date of the applicable Notice of Exercise or (y) the Bid Price of the Common Stock on the principal Trading Market as reported by Bloomberg L.P. (“</w:t>
      </w:r>
      <w:r>
        <w:rPr>
          <w:rFonts w:ascii="Times New Roman" w:hAnsi="Times New Roman"/>
          <w:color w:val="000000"/>
          <w:sz w:val="20"/>
          <w:u w:val="single"/>
        </w:rPr>
        <w:t>Bloomberg</w:t>
      </w:r>
      <w:r>
        <w:rPr>
          <w:rFonts w:ascii="Times New Roman" w:hAnsi="Times New Roman"/>
          <w:color w:val="000000"/>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jc w:val="left"/>
        <w:rPr>
          <w:sz w:val="20"/>
        </w:rPr>
      </w:pPr>
      <w:r>
        <w:rPr>
          <w:sz w:val="20"/>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 =</w:t>
      </w:r>
      <w:r>
        <w:rPr>
          <w:rFonts w:ascii="Times New Roman;Times;serif" w:hAnsi="Times New Roman;Times;serif"/>
          <w:color w:val="000000"/>
          <w:sz w:val="20"/>
        </w:rPr>
        <w:t xml:space="preserve">      </w:t>
      </w:r>
      <w:r>
        <w:rPr>
          <w:rFonts w:ascii="Times New Roman" w:hAnsi="Times New Roman"/>
          <w:color w:val="000000"/>
          <w:sz w:val="20"/>
        </w:rPr>
        <w:t>the Exercise Price, as adjusted hereunder; and</w:t>
      </w:r>
    </w:p>
    <w:p>
      <w:pPr>
        <w:pStyle w:val="TextBody"/>
        <w:bidi w:val="0"/>
        <w:spacing w:before="0" w:after="0"/>
        <w:jc w:val="left"/>
        <w:rPr>
          <w:sz w:val="20"/>
        </w:rPr>
      </w:pPr>
      <w:r>
        <w:rPr>
          <w:sz w:val="20"/>
        </w:rPr>
      </w:r>
    </w:p>
    <w:p>
      <w:pPr>
        <w:pStyle w:val="TextBody"/>
        <w:bidi w:val="0"/>
        <w:spacing w:before="0" w:after="0"/>
        <w:ind w:left="2160" w:right="0" w:hanging="720"/>
        <w:jc w:val="both"/>
        <w:rPr>
          <w:rFonts w:ascii="Times New Roman" w:hAnsi="Times New Roman"/>
          <w:color w:val="000000"/>
          <w:sz w:val="20"/>
        </w:rPr>
      </w:pPr>
      <w:r>
        <w:rPr>
          <w:rFonts w:ascii="Times New Roman" w:hAnsi="Times New Roman"/>
          <w:color w:val="000000"/>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u w:val="single"/>
        </w:rPr>
        <w:t>Bid Price</w:t>
      </w:r>
      <w:r>
        <w:rPr>
          <w:rFonts w:ascii="Times New Roman" w:hAnsi="Times New Roman"/>
          <w:color w:val="000000"/>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listed or quoted for trading on OTCQB Venture Market (“</w:t>
      </w:r>
      <w:r>
        <w:rPr>
          <w:rFonts w:ascii="Times New Roman" w:hAnsi="Times New Roman"/>
          <w:color w:val="000000"/>
          <w:sz w:val="20"/>
          <w:u w:val="single"/>
        </w:rPr>
        <w:t>OTCQB</w:t>
      </w:r>
      <w:r>
        <w:rPr>
          <w:rFonts w:ascii="Times New Roman" w:hAnsi="Times New Roman"/>
          <w:color w:val="000000"/>
          <w:sz w:val="20"/>
        </w:rPr>
        <w:t>”) or the OTCQX Best Market (“</w:t>
      </w:r>
      <w:r>
        <w:rPr>
          <w:rFonts w:ascii="Times New Roman" w:hAnsi="Times New Roman"/>
          <w:color w:val="000000"/>
          <w:sz w:val="20"/>
          <w:u w:val="single"/>
        </w:rPr>
        <w:t>OTCQX</w:t>
      </w:r>
      <w:r>
        <w:rPr>
          <w:rFonts w:ascii="Times New Roman" w:hAnsi="Times New Roman"/>
          <w:color w:val="000000"/>
          <w:sz w:val="20"/>
        </w:rPr>
        <w:t>”),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Open Market (“</w:t>
      </w:r>
      <w:r>
        <w:rPr>
          <w:rFonts w:ascii="Times New Roman" w:hAnsi="Times New Roman"/>
          <w:color w:val="000000"/>
          <w:sz w:val="20"/>
          <w:u w:val="single"/>
        </w:rPr>
        <w:t>Pink Market</w:t>
      </w:r>
      <w:r>
        <w:rPr>
          <w:rFonts w:ascii="Times New Roman" w:hAnsi="Times New Roman"/>
          <w:color w:val="000000"/>
          <w:sz w:val="20"/>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u w:val="single"/>
        </w:rPr>
        <w:t>VWAP</w:t>
      </w:r>
      <w:r>
        <w:rPr>
          <w:rFonts w:ascii="Times New Roman" w:hAnsi="Times New Roman"/>
          <w:color w:val="000000"/>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not then listed or quoted on a Trading Market and if the Common Stock is then listed or quoted on the OTCQB or the OTCQX,  the volume weighted average price of the Common Stock for such date (or the nearest preceding date) on OTCQB or OTCQX as applicable, (c) if the Common Stock is not then listed or quoted for trading on a Trading Market, in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6" w:name="z8da87238d5fc4035bf03fb777ec00a7e"/>
      <w:bookmarkStart w:id="127" w:name="z8da87238d5fc4035bf03fb777ec00a7e"/>
      <w:bookmarkEnd w:id="127"/>
    </w:p>
    <w:tbl>
      <w:tblPr>
        <w:tblW w:w="2133" w:type="dxa"/>
        <w:jc w:val="left"/>
        <w:tblInd w:w="0" w:type="dxa"/>
        <w:tblLayout w:type="fixed"/>
        <w:tblCellMar>
          <w:top w:w="0" w:type="dxa"/>
          <w:left w:w="0" w:type="dxa"/>
          <w:bottom w:w="0" w:type="dxa"/>
          <w:right w:w="0" w:type="dxa"/>
        </w:tblCellMar>
      </w:tblPr>
      <w:tblGrid>
        <w:gridCol w:w="38"/>
        <w:gridCol w:w="185"/>
        <w:gridCol w:w="191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1910"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Mechanics of Exercise</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8" w:name="zddfefcca545a4d79a174133e126b4df8"/>
      <w:bookmarkStart w:id="129" w:name="zddfefcca545a4d79a174133e126b4df8"/>
      <w:bookmarkEnd w:id="129"/>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05" w:type="dxa"/>
            <w:tcBorders/>
            <w:vAlign w:val="center"/>
          </w:tcPr>
          <w:p>
            <w:pPr>
              <w:pStyle w:val="TableContents"/>
              <w:bidi w:val="0"/>
              <w:spacing w:lineRule="auto" w:line="240" w:before="0" w:after="0"/>
              <w:jc w:val="both"/>
              <w:rPr>
                <w:rFonts w:ascii="Times New Roman" w:hAnsi="Times New Roman"/>
                <w:sz w:val="24"/>
              </w:rPr>
            </w:pP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or by electronic delivery through books and records maintained by the Company’s transfer agent (at the election of the Holder),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sz w:val="20"/>
                <w:u w:val="single"/>
              </w:rPr>
              <w:t>Standard Settlement Period</w:t>
            </w:r>
            <w:r>
              <w:rPr>
                <w:rFonts w:ascii="Times New Roman" w:hAnsi="Times New Roman"/>
                <w:sz w:val="20"/>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or cause to be delivered,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ii.</w:t>
      </w:r>
      <w:r>
        <w:rPr>
          <w:rFonts w:ascii="Times New Roman;Times;serif" w:hAnsi="Times New Roman;Times;serif"/>
          <w:color w:val="000000"/>
          <w:sz w:val="20"/>
        </w:rPr>
        <w:t xml:space="preserve">         </w:t>
      </w:r>
      <w:r>
        <w:rPr>
          <w:rFonts w:ascii="Times New Roman" w:hAnsi="Times New Roman"/>
          <w:color w:val="000000"/>
          <w:sz w:val="20"/>
          <w:u w:val="single"/>
        </w:rPr>
        <w:t>Delivery of New Warrants Upon Exercise</w:t>
      </w:r>
      <w:r>
        <w:rPr>
          <w:rFonts w:ascii="Times New Roman" w:hAnsi="Times New Roman"/>
          <w:color w:val="000000"/>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iii.</w:t>
      </w:r>
      <w:r>
        <w:rPr>
          <w:rFonts w:ascii="Times New Roman;Times;serif" w:hAnsi="Times New Roman;Times;serif"/>
          <w:color w:val="000000"/>
          <w:sz w:val="20"/>
        </w:rPr>
        <w:t>          </w:t>
      </w:r>
      <w:r>
        <w:rPr>
          <w:rFonts w:ascii="Times New Roman" w:hAnsi="Times New Roman"/>
          <w:color w:val="000000"/>
          <w:sz w:val="20"/>
          <w:u w:val="single"/>
        </w:rPr>
        <w:t>Rescission Rights</w:t>
      </w:r>
      <w:r>
        <w:rPr>
          <w:rFonts w:ascii="Times New Roman" w:hAnsi="Times New Roman"/>
          <w:color w:val="000000"/>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iv.</w:t>
      </w:r>
      <w:r>
        <w:rPr>
          <w:rFonts w:ascii="Times New Roman;Times;serif" w:hAnsi="Times New Roman;Times;serif"/>
          <w:color w:val="000000"/>
          <w:sz w:val="20"/>
        </w:rPr>
        <w:t xml:space="preserve">        </w:t>
      </w:r>
      <w:r>
        <w:rPr>
          <w:rFonts w:ascii="Times New Roman" w:hAnsi="Times New Roman"/>
          <w:color w:val="000000"/>
          <w:sz w:val="20"/>
          <w:u w:val="single"/>
        </w:rPr>
        <w:t>Compensation for Buy-In on Failure to Timely Deliver Warrant Shares Upon Exercise</w:t>
      </w:r>
      <w:r>
        <w:rPr>
          <w:rFonts w:ascii="Times New Roman" w:hAnsi="Times New Roman"/>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olor w:val="000000"/>
          <w:sz w:val="20"/>
          <w:u w:val="single"/>
        </w:rPr>
        <w:t>Buy-In</w:t>
      </w:r>
      <w:r>
        <w:rPr>
          <w:rFonts w:ascii="Times New Roman" w:hAnsi="Times New Roman"/>
          <w:color w:val="000000"/>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did not timely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Warrants for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v.</w:t>
      </w:r>
      <w:r>
        <w:rPr>
          <w:rFonts w:ascii="Times New Roman;Times;serif" w:hAnsi="Times New Roman;Times;serif"/>
          <w:color w:val="000000"/>
          <w:sz w:val="20"/>
        </w:rPr>
        <w:t xml:space="preserve">           </w:t>
      </w:r>
      <w:r>
        <w:rPr>
          <w:rFonts w:ascii="Times New Roman" w:hAnsi="Times New Roman"/>
          <w:color w:val="000000"/>
          <w:sz w:val="20"/>
          <w:u w:val="single"/>
        </w:rPr>
        <w:t>No Fractional Shares or Scrip</w:t>
      </w:r>
      <w:r>
        <w:rPr>
          <w:rFonts w:ascii="Times New Roman" w:hAnsi="Times New Roman"/>
          <w:color w:val="000000"/>
          <w:sz w:val="20"/>
        </w:rPr>
        <w:t>.  No fractional shares or scrip representing fractional shares shall be issued upon the exercise of this Warrant.  As to any fraction of a share which the Holder would otherwise be entitled to purchase upon such exercise, the number of Warrant Shares to be issued shall be rounded down to the nearest whole number and Company shall pay a cash adjustment in respect of such final fraction in an amount equal to such fraction multiplied by the Exercise Price.</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vi.</w:t>
      </w:r>
      <w:r>
        <w:rPr>
          <w:rFonts w:ascii="Times New Roman;Times;serif" w:hAnsi="Times New Roman;Times;serif"/>
          <w:color w:val="000000"/>
          <w:sz w:val="20"/>
        </w:rPr>
        <w:t>          </w:t>
      </w:r>
      <w:r>
        <w:rPr>
          <w:rFonts w:ascii="Times New Roman" w:hAnsi="Times New Roman"/>
          <w:color w:val="000000"/>
          <w:sz w:val="20"/>
          <w:u w:val="single"/>
        </w:rPr>
        <w:t>Charges, Taxes and Expenses</w:t>
      </w:r>
      <w:r>
        <w:rPr>
          <w:rFonts w:ascii="Times New Roman" w:hAnsi="Times New Roman"/>
          <w:color w:val="000000"/>
          <w:sz w:val="20"/>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vii.</w:t>
      </w:r>
      <w:r>
        <w:rPr>
          <w:rFonts w:ascii="Times New Roman;Times;serif" w:hAnsi="Times New Roman;Times;serif"/>
          <w:color w:val="000000"/>
          <w:sz w:val="20"/>
        </w:rPr>
        <w:t xml:space="preserve">        </w:t>
      </w:r>
      <w:r>
        <w:rPr>
          <w:rFonts w:ascii="Times New Roman" w:hAnsi="Times New Roman"/>
          <w:color w:val="000000"/>
          <w:sz w:val="20"/>
          <w:u w:val="single"/>
        </w:rPr>
        <w:t>Closing of Books</w:t>
      </w:r>
      <w:r>
        <w:rPr>
          <w:rFonts w:ascii="Times New Roman" w:hAnsi="Times New Roman"/>
          <w:color w:val="000000"/>
          <w:sz w:val="20"/>
        </w:rPr>
        <w:t>.  The Company will not close its stockholder books or records in any manner which prevents the timely exercise of this Warrant, pursuant to the terms hereof.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30" w:name="z76ab130ba11d40aea62d988b7b24c6f6"/>
      <w:bookmarkStart w:id="131" w:name="z76ab130ba11d40aea62d988b7b24c6f6"/>
      <w:bookmarkEnd w:id="131"/>
    </w:p>
    <w:tbl>
      <w:tblPr>
        <w:tblW w:w="10205" w:type="dxa"/>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pPr>
            <w:r>
              <w:rPr/>
            </w:r>
          </w:p>
        </w:tc>
        <w:tc>
          <w:tcPr>
            <w:tcW w:w="11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10056" w:type="dxa"/>
            <w:tcBorders/>
            <w:vAlign w:val="center"/>
          </w:tcPr>
          <w:p>
            <w:pPr>
              <w:pStyle w:val="TableContents"/>
              <w:bidi w:val="0"/>
              <w:spacing w:lineRule="auto" w:line="240" w:before="0" w:after="0"/>
              <w:jc w:val="both"/>
              <w:rPr>
                <w:rFonts w:ascii="Times New Roman" w:hAnsi="Times New Roman"/>
                <w:sz w:val="24"/>
              </w:rPr>
            </w:pPr>
            <w:r>
              <w:rPr>
                <w:rFonts w:ascii="Times New Roman" w:hAnsi="Times New Roman"/>
                <w:sz w:val="20"/>
                <w:u w:val="single"/>
              </w:rPr>
              <w:t>Holder’s Exercise Limitations</w:t>
            </w:r>
            <w:r>
              <w:rPr>
                <w:rFonts w:ascii="Times New Roman" w:hAnsi="Times New Roman"/>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 w:hAnsi="Times New Roman"/>
                <w:sz w:val="20"/>
                <w:u w:val="single"/>
              </w:rPr>
              <w:t>Attribution Parties</w:t>
            </w:r>
            <w:r>
              <w:rPr>
                <w:rFonts w:ascii="Times New Roman" w:hAnsi="Times New Roman"/>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(other than to the extent that the information on the number of outstanding shares of Common Stock is provided by the Company, either directly or through one or more public filings relied upon by the Holder).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sz w:val="20"/>
                <w:u w:val="single"/>
              </w:rPr>
              <w:t>Beneficial Ownership Limitation</w:t>
            </w:r>
            <w:r>
              <w:rPr>
                <w:rFonts w:ascii="Times New Roman" w:hAnsi="Times New Roman"/>
                <w:sz w:val="20"/>
              </w:rPr>
              <w:t>” shall be 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3</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xml:space="preserve">         </w:t>
      </w:r>
      <w:r>
        <w:rPr>
          <w:rFonts w:ascii="Times New Roman" w:hAnsi="Times New Roman"/>
          <w:color w:val="000000"/>
          <w:sz w:val="20"/>
          <w:u w:val="single"/>
        </w:rPr>
        <w:t>Stock Dividends and Splits</w:t>
      </w:r>
      <w:r>
        <w:rPr>
          <w:rFonts w:ascii="Times New Roman" w:hAnsi="Times New Roman"/>
          <w:color w:val="000000"/>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Warrant Shares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noBreakHyphen/>
        <w:t>classification.</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xml:space="preserve">          </w:t>
      </w:r>
      <w:r>
        <w:rPr>
          <w:rFonts w:ascii="Times New Roman" w:hAnsi="Times New Roman"/>
          <w:color w:val="000000"/>
          <w:sz w:val="20"/>
          <w:u w:val="single"/>
        </w:rPr>
        <w:t>Subsequent Rights Offerings</w:t>
      </w:r>
      <w:r>
        <w:rPr>
          <w:rFonts w:ascii="Times New Roman" w:hAnsi="Times New Roman"/>
          <w:color w:val="000000"/>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olor w:val="000000"/>
          <w:sz w:val="20"/>
          <w:u w:val="single"/>
        </w:rPr>
        <w:t>Purchase Rights</w:t>
      </w:r>
      <w:r>
        <w:rPr>
          <w:rFonts w:ascii="Times New Roman" w:hAnsi="Times New Roman"/>
          <w:color w:val="000000"/>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d)</w:t>
      </w:r>
      <w:r>
        <w:rPr>
          <w:rFonts w:ascii="Times New Roman;Times;serif" w:hAnsi="Times New Roman;Times;serif"/>
          <w:color w:val="000000"/>
          <w:sz w:val="20"/>
        </w:rPr>
        <w:t xml:space="preserve">        </w:t>
      </w:r>
      <w:r>
        <w:rPr>
          <w:rFonts w:ascii="Times New Roman" w:hAnsi="Times New Roman"/>
          <w:color w:val="000000"/>
          <w:sz w:val="20"/>
          <w:u w:val="single"/>
        </w:rPr>
        <w:t>Pro Rata Distributions</w:t>
      </w:r>
      <w:r>
        <w:rPr>
          <w:rFonts w:ascii="Times New Roman" w:hAnsi="Times New Roman"/>
          <w:color w:val="000000"/>
          <w:sz w:val="20"/>
        </w:rPr>
        <w:t>.  During such time as this Warrant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hAnsi="Times New Roman"/>
          <w:color w:val="000000"/>
          <w:sz w:val="20"/>
          <w:u w:val="single"/>
        </w:rPr>
        <w:t>Distribution</w:t>
      </w:r>
      <w:r>
        <w:rPr>
          <w:rFonts w:ascii="Times New Roman" w:hAnsi="Times New Roman"/>
          <w:color w:val="000000"/>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e)</w:t>
      </w:r>
      <w:r>
        <w:rPr>
          <w:rFonts w:ascii="Times New Roman;Times;serif" w:hAnsi="Times New Roman;Times;serif"/>
          <w:color w:val="000000"/>
          <w:sz w:val="20"/>
        </w:rPr>
        <w:t xml:space="preserve">         </w:t>
      </w:r>
      <w:r>
        <w:rPr>
          <w:rFonts w:ascii="Times New Roman" w:hAnsi="Times New Roman"/>
          <w:color w:val="000000"/>
          <w:sz w:val="20"/>
          <w:u w:val="single"/>
        </w:rPr>
        <w:t>Fundamental Transaction</w:t>
      </w:r>
      <w:r>
        <w:rPr>
          <w:rFonts w:ascii="Times New Roman" w:hAnsi="Times New Roman"/>
          <w:color w:val="000000"/>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outstanding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w:t>
      </w:r>
      <w:r>
        <w:rPr>
          <w:rFonts w:ascii="Times New Roman" w:hAnsi="Times New Roman"/>
          <w:color w:val="FF0000"/>
          <w:sz w:val="20"/>
        </w:rPr>
        <w:t> </w:t>
      </w:r>
      <w:r>
        <w:rPr>
          <w:rFonts w:ascii="Times New Roman" w:hAnsi="Times New Roman"/>
          <w:color w:val="000000"/>
          <w:sz w:val="20"/>
        </w:rPr>
        <w:t>of the voting power of the outstanding common equity of the Company (each a “</w:t>
      </w:r>
      <w:r>
        <w:rPr>
          <w:rFonts w:ascii="Times New Roman" w:hAnsi="Times New Roman"/>
          <w:color w:val="000000"/>
          <w:sz w:val="20"/>
          <w:u w:val="single"/>
        </w:rPr>
        <w:t>Fundamental Transaction</w:t>
      </w:r>
      <w:r>
        <w:rPr>
          <w:rFonts w:ascii="Times New Roman" w:hAnsi="Times New Roman"/>
          <w:color w:val="00000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color w:val="000000"/>
          <w:sz w:val="20"/>
          <w:u w:val="single"/>
        </w:rPr>
        <w:t>Alternate Consideration</w:t>
      </w:r>
      <w:r>
        <w:rPr>
          <w:rFonts w:ascii="Times New Roman" w:hAnsi="Times New Roman"/>
          <w:color w:val="000000"/>
          <w:sz w:val="20"/>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however</w:t>
      </w:r>
      <w:r>
        <w:rPr>
          <w:rFonts w:ascii="Times New Roman" w:hAnsi="Times New Roman"/>
          <w:color w:val="000000"/>
          <w:sz w:val="20"/>
        </w:rPr>
        <w:t xml:space="preserve">, that, if the Fundamental Transaction is not within the Company's control, including not approved by the Company's Board of Directors, the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hAnsi="Times New Roman"/>
          <w:color w:val="000000"/>
          <w:sz w:val="20"/>
          <w:u w:val="single"/>
        </w:rPr>
        <w:t>Black Scholes Value</w:t>
      </w:r>
      <w:r>
        <w:rPr>
          <w:rFonts w:ascii="Times New Roman" w:hAnsi="Times New Roman"/>
          <w:color w:val="000000"/>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90 day volatility, as obtained from the HVT function on Bloomberg (determined utilizing a 365-day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hAnsi="Times New Roman"/>
          <w:color w:val="000000"/>
          <w:sz w:val="20"/>
          <w:u w:val="single"/>
        </w:rPr>
        <w:t>Successor Entity</w:t>
      </w:r>
      <w:r>
        <w:rPr>
          <w:rFonts w:ascii="Times New Roman" w:hAnsi="Times New Roman"/>
          <w:color w:val="000000"/>
          <w:sz w:val="20"/>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whether the Company has sufficient authorized shares of Common Stock for the issuance of Warrant Shares.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f)</w:t>
      </w:r>
      <w:r>
        <w:rPr>
          <w:rFonts w:ascii="Times New Roman;Times;serif" w:hAnsi="Times New Roman;Times;serif"/>
          <w:color w:val="000000"/>
          <w:sz w:val="20"/>
        </w:rPr>
        <w:t xml:space="preserve">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g)</w:t>
      </w:r>
      <w:r>
        <w:rPr>
          <w:rFonts w:ascii="Times New Roman;Times;serif" w:hAnsi="Times New Roman;Times;serif"/>
          <w:color w:val="000000"/>
          <w:sz w:val="20"/>
        </w:rPr>
        <w:t>          </w:t>
      </w:r>
      <w:r>
        <w:rPr>
          <w:rFonts w:ascii="Times New Roman" w:hAnsi="Times New Roman"/>
          <w:color w:val="000000"/>
          <w:sz w:val="20"/>
          <w:u w:val="single"/>
        </w:rPr>
        <w:t>Calculations</w:t>
      </w:r>
      <w:r>
        <w:rPr>
          <w:rFonts w:ascii="Times New Roman" w:hAnsi="Times New Roman"/>
          <w:color w:val="000000"/>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h)</w:t>
      </w:r>
      <w:r>
        <w:rPr>
          <w:rFonts w:ascii="Times New Roman;Times;serif" w:hAnsi="Times New Roman;Times;serif"/>
          <w:color w:val="000000"/>
          <w:sz w:val="20"/>
        </w:rPr>
        <w:t xml:space="preserve">           </w:t>
      </w:r>
      <w:r>
        <w:rPr>
          <w:rFonts w:ascii="Times New Roman" w:hAnsi="Times New Roman"/>
          <w:color w:val="000000"/>
          <w:sz w:val="20"/>
          <w:u w:val="single"/>
        </w:rPr>
        <w:t>Notice to Holder</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w:t>
      </w:r>
      <w:r>
        <w:rPr>
          <w:rFonts w:ascii="Times New Roman;Times;serif" w:hAnsi="Times New Roman;Times;serif"/>
          <w:color w:val="000000"/>
          <w:sz w:val="20"/>
        </w:rPr>
        <w:t>          </w:t>
      </w:r>
      <w:r>
        <w:rPr>
          <w:rFonts w:ascii="Times New Roman" w:hAnsi="Times New Roman"/>
          <w:color w:val="000000"/>
          <w:sz w:val="20"/>
          <w:u w:val="single"/>
        </w:rPr>
        <w:t>Adjustment to Exercise Price</w:t>
      </w:r>
      <w:r>
        <w:rPr>
          <w:rFonts w:ascii="Times New Roman" w:hAnsi="Times New Roman"/>
          <w:color w:val="000000"/>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For purposes of clarification, whether or not the Company provides any such notice, each Holder shall only be required to pay the adjusted Exercise Price with respect to such exercise, regardless of whether a Holder accurately refers to such price in any Notice of Exercise If the aggregate Exercise Price paid by the Holder exceeds the amount that should have been paid based on the adjusted Exercise Price, the Company shall promptly return any excess aggregate Exercise Price to the Holder.</w:t>
      </w:r>
    </w:p>
    <w:p>
      <w:pPr>
        <w:pStyle w:val="TextBody"/>
        <w:bidi w:val="0"/>
        <w:spacing w:before="0" w:after="0"/>
        <w:jc w:val="left"/>
        <w:rPr>
          <w:color w:val="000000"/>
        </w:rPr>
      </w:pPr>
      <w:r>
        <w:rPr>
          <w:color w:val="000000"/>
        </w:rPr>
        <w:t> </w:t>
      </w:r>
    </w:p>
    <w:p>
      <w:pPr>
        <w:pStyle w:val="TextBody"/>
        <w:bidi w:val="0"/>
        <w:spacing w:before="0" w:after="0"/>
        <w:ind w:left="2160" w:right="0" w:firstLine="720"/>
        <w:jc w:val="both"/>
        <w:rPr>
          <w:rFonts w:ascii="Times New Roman;Times;serif" w:hAnsi="Times New Roman;Times;serif"/>
          <w:color w:val="000000"/>
          <w:sz w:val="20"/>
        </w:rPr>
      </w:pPr>
      <w:r>
        <w:rPr>
          <w:rFonts w:ascii="Times New Roman" w:hAnsi="Times New Roman"/>
          <w:color w:val="000000"/>
          <w:sz w:val="20"/>
        </w:rPr>
        <w:t>ii.</w:t>
      </w:r>
      <w:r>
        <w:rPr>
          <w:rFonts w:ascii="Times New Roman;Times;serif" w:hAnsi="Times New Roman;Times;serif"/>
          <w:color w:val="000000"/>
          <w:sz w:val="20"/>
        </w:rPr>
        <w:t xml:space="preserve">           </w:t>
      </w:r>
      <w:r>
        <w:rPr>
          <w:rFonts w:ascii="Times New Roman" w:hAnsi="Times New Roman"/>
          <w:color w:val="000000"/>
          <w:sz w:val="20"/>
          <w:u w:val="single"/>
        </w:rPr>
        <w:t>Notice to Allow Exercise by Holder</w:t>
      </w:r>
      <w:r>
        <w:rPr>
          <w:rFonts w:ascii="Times New Roman" w:hAnsi="Times New Roman"/>
          <w:color w:val="000000"/>
          <w:sz w:val="20"/>
        </w:rPr>
        <w:t>. If, while the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2160" w:right="0" w:firstLine="540"/>
        <w:jc w:val="both"/>
        <w:rPr>
          <w:rFonts w:ascii="Times New Roman;Times;serif" w:hAnsi="Times New Roman;Times;serif"/>
          <w:color w:val="000000"/>
          <w:sz w:val="20"/>
        </w:rPr>
      </w:pPr>
      <w:r>
        <w:rPr>
          <w:rFonts w:ascii="Times New Roman" w:hAnsi="Times New Roman"/>
          <w:color w:val="000000"/>
          <w:sz w:val="20"/>
        </w:rPr>
        <w:t>iii.</w:t>
      </w:r>
      <w:r>
        <w:rPr>
          <w:rFonts w:ascii="Times New Roman;Times;serif" w:hAnsi="Times New Roman;Times;serif"/>
          <w:color w:val="000000"/>
          <w:sz w:val="20"/>
        </w:rPr>
        <w:t>          </w:t>
      </w:r>
      <w:r>
        <w:rPr>
          <w:rFonts w:ascii="Times New Roman" w:hAnsi="Times New Roman"/>
          <w:color w:val="000000"/>
          <w:sz w:val="20"/>
          <w:u w:val="single"/>
        </w:rPr>
        <w:t>Voluntary Adjustment By Company</w:t>
      </w:r>
      <w:r>
        <w:rPr>
          <w:rFonts w:ascii="Times New Roman" w:hAnsi="Times New Roman"/>
          <w:color w:val="000000"/>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4</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Transfer of Warrant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xml:space="preserve">         </w:t>
      </w:r>
      <w:r>
        <w:rPr>
          <w:rFonts w:ascii="Times New Roman" w:hAnsi="Times New Roman"/>
          <w:color w:val="000000"/>
          <w:sz w:val="20"/>
          <w:u w:val="single"/>
        </w:rPr>
        <w:t>Transferability</w:t>
      </w:r>
      <w:r>
        <w:rPr>
          <w:rFonts w:ascii="Times New Roman" w:hAnsi="Times New Roman"/>
          <w:color w:val="000000"/>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xml:space="preserve">         </w:t>
      </w:r>
      <w:r>
        <w:rPr>
          <w:rFonts w:ascii="Times New Roman" w:hAnsi="Times New Roman"/>
          <w:color w:val="000000"/>
          <w:sz w:val="20"/>
          <w:u w:val="single"/>
        </w:rPr>
        <w:t>New Warrants</w:t>
      </w:r>
      <w:r>
        <w:rPr>
          <w:rFonts w:ascii="Times New Roman" w:hAnsi="Times New Roman"/>
          <w:color w:val="000000"/>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xml:space="preserve">         </w:t>
      </w:r>
      <w:r>
        <w:rPr>
          <w:rFonts w:ascii="Times New Roman" w:hAnsi="Times New Roman"/>
          <w:color w:val="000000"/>
          <w:sz w:val="20"/>
          <w:u w:val="single"/>
        </w:rPr>
        <w:t>Warrant Register</w:t>
      </w:r>
      <w:r>
        <w:rPr>
          <w:rFonts w:ascii="Times New Roman" w:hAnsi="Times New Roman"/>
          <w:color w:val="000000"/>
          <w:sz w:val="20"/>
        </w:rPr>
        <w:t>.  The Company shall act as the warrant agent to the Holder. The Company shall register this Warrant, upon records to be maintained by the Company for that purpose (the “</w:t>
      </w:r>
      <w:r>
        <w:rPr>
          <w:rFonts w:ascii="Times New Roman" w:hAnsi="Times New Roman"/>
          <w:color w:val="000000"/>
          <w:sz w:val="20"/>
          <w:u w:val="single"/>
        </w:rPr>
        <w:t>Warrant Register</w:t>
      </w:r>
      <w:r>
        <w:rPr>
          <w:rFonts w:ascii="Times New Roman" w:hAnsi="Times New Roman"/>
          <w:color w:val="000000"/>
          <w:sz w:val="20"/>
        </w:rPr>
        <w:t>”), in the name of the record Holder hereof for the benefit of the Holder.  The Company may deem and treat the registered Holder of this Warrant as the absolute owner hereof for the purpose of any exercise hereof or any distribution to the Holder, and for all other purposes, absent actual notice to the contrary. The Holder shall have the right to request at any time the issuance of an ink-original warrant evidencing the ownership of this Warrant to such Holder, which shall be dated the Issue Date and delivered to the address specified by the Holder within one (1) Trading Day upon request.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 w:hAnsi="Times New Roman"/>
          <w:color w:val="000000"/>
          <w:sz w:val="20"/>
          <w:u w:val="single"/>
        </w:rPr>
        <w:t>Section 5</w:t>
      </w:r>
      <w:r>
        <w:rPr>
          <w:rFonts w:ascii="Times New Roman" w:hAnsi="Times New Roman"/>
          <w:color w:val="000000"/>
          <w:sz w:val="20"/>
        </w:rPr>
        <w:t>.</w:t>
      </w:r>
      <w:r>
        <w:rPr>
          <w:rFonts w:ascii="Times New Roman;Times;serif" w:hAnsi="Times New Roman;Times;serif"/>
          <w:color w:val="000000"/>
          <w:sz w:val="20"/>
        </w:rPr>
        <w:t xml:space="preserve">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a)</w:t>
      </w:r>
      <w:r>
        <w:rPr>
          <w:rFonts w:ascii="Times New Roman;Times;serif" w:hAnsi="Times New Roman;Times;serif"/>
          <w:color w:val="000000"/>
          <w:sz w:val="20"/>
        </w:rPr>
        <w:t xml:space="preserve">          </w:t>
      </w:r>
      <w:r>
        <w:rPr>
          <w:rFonts w:ascii="Times New Roman" w:hAnsi="Times New Roman"/>
          <w:color w:val="000000"/>
          <w:sz w:val="20"/>
          <w:u w:val="single"/>
        </w:rPr>
        <w:t>No Rights as Stockholder Until Exercise; No Settlement in Cash</w:t>
      </w:r>
      <w:r>
        <w:rPr>
          <w:rFonts w:ascii="Times New Roman" w:hAnsi="Times New Roman"/>
          <w:color w:val="000000"/>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b)</w:t>
      </w:r>
      <w:r>
        <w:rPr>
          <w:rFonts w:ascii="Times New Roman;Times;serif" w:hAnsi="Times New Roman;Times;serif"/>
          <w:color w:val="000000"/>
          <w:sz w:val="20"/>
        </w:rPr>
        <w:t xml:space="preserve">        </w:t>
      </w:r>
      <w:r>
        <w:rPr>
          <w:rFonts w:ascii="Times New Roman" w:hAnsi="Times New Roman"/>
          <w:color w:val="000000"/>
          <w:sz w:val="20"/>
          <w:u w:val="single"/>
        </w:rPr>
        <w:t>Loss, Theft, Destruction or Mutilation of Warrant</w:t>
      </w:r>
      <w:r>
        <w:rPr>
          <w:rFonts w:ascii="Times New Roman" w:hAnsi="Times New Roman"/>
          <w:color w:val="000000"/>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c)</w:t>
      </w:r>
      <w:r>
        <w:rPr>
          <w:rFonts w:ascii="Times New Roman;Times;serif" w:hAnsi="Times New Roman;Times;serif"/>
          <w:color w:val="000000"/>
          <w:sz w:val="20"/>
        </w:rPr>
        <w:t xml:space="preserve">          </w:t>
      </w:r>
      <w:r>
        <w:rPr>
          <w:rFonts w:ascii="Times New Roman" w:hAnsi="Times New Roman"/>
          <w:color w:val="000000"/>
          <w:sz w:val="20"/>
          <w:u w:val="single"/>
        </w:rPr>
        <w:t>Saturdays, Sundays, Holidays, etc</w:t>
      </w:r>
      <w:r>
        <w:rPr>
          <w:rFonts w:ascii="Times New Roman" w:hAnsi="Times New Roman"/>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d)</w:t>
      </w:r>
      <w:r>
        <w:rPr>
          <w:rFonts w:ascii="Times New Roman;Times;serif" w:hAnsi="Times New Roman;Times;serif"/>
          <w:color w:val="000000"/>
          <w:sz w:val="20"/>
        </w:rPr>
        <w:t xml:space="preserve">          </w:t>
      </w:r>
      <w:r>
        <w:rPr>
          <w:rFonts w:ascii="Times New Roman" w:hAnsi="Times New Roman"/>
          <w:color w:val="000000"/>
          <w:sz w:val="20"/>
          <w:u w:val="single"/>
        </w:rPr>
        <w:t>Authorized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1440" w:right="0" w:firstLine="1440"/>
        <w:jc w:val="both"/>
        <w:rPr>
          <w:rFonts w:ascii="Times New Roman" w:hAnsi="Times New Roman"/>
          <w:color w:val="000000"/>
          <w:sz w:val="20"/>
        </w:rPr>
      </w:pPr>
      <w:r>
        <w:rPr>
          <w:rFonts w:ascii="Times New Roman" w:hAnsi="Times New Roman"/>
          <w:color w:val="000000"/>
          <w:sz w:val="20"/>
        </w:rPr>
        <w:t>The Company covenants that, during the period that the Warrant is outstanding, it will reserve and keep available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jc w:val="left"/>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e)</w:t>
      </w:r>
      <w:r>
        <w:rPr>
          <w:rFonts w:ascii="Times New Roman;Times;serif" w:hAnsi="Times New Roman;Times;serif"/>
          <w:color w:val="000000"/>
          <w:sz w:val="20"/>
        </w:rPr>
        <w:t xml:space="preserve">        </w:t>
      </w:r>
      <w:r>
        <w:rPr>
          <w:rFonts w:ascii="Times New Roman" w:hAnsi="Times New Roman"/>
          <w:color w:val="000000"/>
          <w:sz w:val="20"/>
          <w:u w:val="single"/>
        </w:rPr>
        <w:t>Jurisdiction</w:t>
      </w:r>
      <w:r>
        <w:rPr>
          <w:rFonts w:ascii="Times New Roman" w:hAnsi="Times New Roman"/>
          <w:color w:val="000000"/>
          <w:sz w:val="20"/>
        </w:rPr>
        <w:t>. All questions concerning the construction, validity, enforcement and interpretation of this Warrant shall be determined in accordance with the provisions of the Purchase Agreement.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f)</w:t>
      </w:r>
      <w:r>
        <w:rPr>
          <w:rFonts w:ascii="Times New Roman;Times;serif" w:hAnsi="Times New Roman;Times;serif"/>
          <w:color w:val="000000"/>
          <w:sz w:val="20"/>
        </w:rPr>
        <w:t>          </w:t>
      </w:r>
      <w:r>
        <w:rPr>
          <w:rFonts w:ascii="Times New Roman" w:hAnsi="Times New Roman"/>
          <w:color w:val="000000"/>
          <w:sz w:val="20"/>
          <w:u w:val="single"/>
        </w:rPr>
        <w:t>Restrictions</w:t>
      </w:r>
      <w:r>
        <w:rPr>
          <w:rFonts w:ascii="Times New Roman" w:hAnsi="Times New Roman"/>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g)</w:t>
      </w:r>
      <w:r>
        <w:rPr>
          <w:rFonts w:ascii="Times New Roman;Times;serif" w:hAnsi="Times New Roman;Times;serif"/>
          <w:color w:val="000000"/>
          <w:sz w:val="20"/>
        </w:rPr>
        <w:t>          </w:t>
      </w:r>
      <w:r>
        <w:rPr>
          <w:rFonts w:ascii="Times New Roman" w:hAnsi="Times New Roman"/>
          <w:color w:val="000000"/>
          <w:sz w:val="20"/>
          <w:u w:val="single"/>
        </w:rPr>
        <w:t>Nonwaiver and Expenses</w:t>
      </w:r>
      <w:r>
        <w:rPr>
          <w:rFonts w:ascii="Times New Roman" w:hAnsi="Times New Roman"/>
          <w:color w:val="000000"/>
          <w:sz w:val="20"/>
        </w:rPr>
        <w:t>.  No course of dealing or any delay or failure to exercise any right hereunder on the part of the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h)</w:t>
      </w:r>
      <w:r>
        <w:rPr>
          <w:rFonts w:ascii="Times New Roman;Times;serif" w:hAnsi="Times New Roman;Times;serif"/>
          <w:color w:val="000000"/>
          <w:sz w:val="20"/>
        </w:rPr>
        <w:t xml:space="preserve">        </w:t>
      </w:r>
      <w:r>
        <w:rPr>
          <w:rFonts w:ascii="Times New Roman" w:hAnsi="Times New Roman"/>
          <w:color w:val="000000"/>
          <w:sz w:val="20"/>
          <w:u w:val="single"/>
        </w:rPr>
        <w:t>Notices</w:t>
      </w:r>
      <w:r>
        <w:rPr>
          <w:rFonts w:ascii="Times New Roman" w:hAnsi="Times New Roman"/>
          <w:color w:val="000000"/>
          <w:sz w:val="20"/>
        </w:rPr>
        <w:t>.  Any notice, request or other document required or permitted to be given or delivered to the Holder by the Company shall be delivered to the address of the Holder in the Warrant Register.</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i)</w:t>
      </w:r>
      <w:r>
        <w:rPr>
          <w:rFonts w:ascii="Times New Roman;Times;serif" w:hAnsi="Times New Roman;Times;serif"/>
          <w:color w:val="000000"/>
          <w:sz w:val="20"/>
        </w:rPr>
        <w:t xml:space="preserve">         </w:t>
      </w:r>
      <w:r>
        <w:rPr>
          <w:rFonts w:ascii="Times New Roman" w:hAnsi="Times New Roman"/>
          <w:color w:val="000000"/>
          <w:sz w:val="20"/>
          <w:u w:val="single"/>
        </w:rPr>
        <w:t>Limitation of Liability</w:t>
      </w:r>
      <w:r>
        <w:rPr>
          <w:rFonts w:ascii="Times New Roman" w:hAnsi="Times New Roman"/>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j)</w:t>
      </w:r>
      <w:r>
        <w:rPr>
          <w:rFonts w:ascii="Times New Roman;Times;serif" w:hAnsi="Times New Roman;Times;serif"/>
          <w:color w:val="000000"/>
          <w:sz w:val="20"/>
        </w:rPr>
        <w:t>          </w:t>
      </w:r>
      <w:r>
        <w:rPr>
          <w:rFonts w:ascii="Times New Roman" w:hAnsi="Times New Roman"/>
          <w:color w:val="000000"/>
          <w:sz w:val="20"/>
          <w:u w:val="single"/>
        </w:rPr>
        <w:t>Remedies</w:t>
      </w:r>
      <w:r>
        <w:rPr>
          <w:rFonts w:ascii="Times New Roman" w:hAnsi="Times New Roman"/>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k)</w:t>
      </w:r>
      <w:r>
        <w:rPr>
          <w:rFonts w:ascii="Times New Roman;Times;serif" w:hAnsi="Times New Roman;Times;serif"/>
          <w:color w:val="000000"/>
          <w:sz w:val="20"/>
        </w:rPr>
        <w:t>          </w:t>
      </w:r>
      <w:r>
        <w:rPr>
          <w:rFonts w:ascii="Times New Roman" w:hAnsi="Times New Roman"/>
          <w:color w:val="000000"/>
          <w:sz w:val="20"/>
          <w:u w:val="single"/>
        </w:rPr>
        <w:t>Successors and Assigns</w:t>
      </w:r>
      <w:r>
        <w:rPr>
          <w:rFonts w:ascii="Times New Roman" w:hAnsi="Times New Roman"/>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l)</w:t>
      </w:r>
      <w:r>
        <w:rPr>
          <w:rFonts w:ascii="Times New Roman;Times;serif" w:hAnsi="Times New Roman;Times;serif"/>
          <w:color w:val="000000"/>
          <w:sz w:val="20"/>
        </w:rPr>
        <w:t>          </w:t>
      </w:r>
      <w:r>
        <w:rPr>
          <w:rFonts w:ascii="Times New Roman" w:hAnsi="Times New Roman"/>
          <w:color w:val="000000"/>
          <w:sz w:val="20"/>
          <w:u w:val="single"/>
        </w:rPr>
        <w:t>Amendment</w:t>
      </w:r>
      <w:r>
        <w:rPr>
          <w:rFonts w:ascii="Times New Roman" w:hAnsi="Times New Roman"/>
          <w:color w:val="000000"/>
          <w:sz w:val="20"/>
        </w:rPr>
        <w:t>.  This Warrant may be modified or amended or the provisions hereof waived with the written consent of the Company and the Holder (or the beneficial owner of this Warrant).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m)</w:t>
      </w:r>
      <w:r>
        <w:rPr>
          <w:rFonts w:ascii="Times New Roman;Times;serif" w:hAnsi="Times New Roman;Times;serif"/>
          <w:color w:val="000000"/>
          <w:sz w:val="20"/>
        </w:rPr>
        <w:t xml:space="preserve">       </w:t>
      </w:r>
      <w:r>
        <w:rPr>
          <w:rFonts w:ascii="Times New Roman" w:hAnsi="Times New Roman"/>
          <w:color w:val="000000"/>
          <w:sz w:val="20"/>
          <w:u w:val="single"/>
        </w:rPr>
        <w:t>Severability</w:t>
      </w:r>
      <w:r>
        <w:rPr>
          <w:rFonts w:ascii="Times New Roman" w:hAnsi="Times New Roman"/>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n)</w:t>
      </w:r>
      <w:r>
        <w:rPr>
          <w:rFonts w:ascii="Times New Roman;Times;serif" w:hAnsi="Times New Roman;Times;serif"/>
          <w:color w:val="000000"/>
          <w:sz w:val="20"/>
        </w:rPr>
        <w:t xml:space="preserve">          </w:t>
      </w:r>
      <w:r>
        <w:rPr>
          <w:rFonts w:ascii="Times New Roman" w:hAnsi="Times New Roman"/>
          <w:color w:val="000000"/>
          <w:sz w:val="20"/>
          <w:u w:val="single"/>
        </w:rPr>
        <w:t>Headings</w:t>
      </w:r>
      <w:r>
        <w:rPr>
          <w:rFonts w:ascii="Times New Roman" w:hAnsi="Times New Roman"/>
          <w:color w:val="000000"/>
          <w:sz w:val="20"/>
        </w:rPr>
        <w:t>.  The headings used in this Warrant are for the convenience of reference only and shall not, for any purpose, be deemed a part of this Warrant.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Times;serif" w:hAnsi="Times New Roman;Times;serif"/>
          <w:color w:val="000000"/>
          <w:sz w:val="20"/>
        </w:rPr>
      </w:pPr>
      <w:r>
        <w:rPr>
          <w:rFonts w:ascii="Times New Roman" w:hAnsi="Times New Roman"/>
          <w:color w:val="000000"/>
          <w:sz w:val="20"/>
        </w:rPr>
        <w:t>o)</w:t>
      </w:r>
      <w:r>
        <w:rPr>
          <w:rFonts w:ascii="Times New Roman;Times;serif" w:hAnsi="Times New Roman;Times;serif"/>
          <w:color w:val="000000"/>
          <w:sz w:val="20"/>
        </w:rPr>
        <w:t xml:space="preserve">         </w:t>
      </w:r>
      <w:r>
        <w:rPr>
          <w:rFonts w:ascii="Times New Roman" w:hAnsi="Times New Roman"/>
          <w:color w:val="000000"/>
          <w:sz w:val="20"/>
          <w:u w:val="single"/>
        </w:rPr>
        <w:t>Electronic Signatures</w:t>
      </w:r>
      <w:r>
        <w:rPr>
          <w:rFonts w:ascii="Times New Roman" w:hAnsi="Times New Roman"/>
          <w:color w:val="000000"/>
          <w:sz w:val="20"/>
        </w:rPr>
        <w:t>. Electronically scanned and transmitted signatures, including by email attachment, shall be deemed originals for all purposes of this Warrant.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IN WITNESS WHEREOF, the Company has caused this Warrant to be executed by its officer thereunto duly authorized as of the date first above indicated.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 w:name="z7091e3a31c5d41b683de8a26f1b91590"/>
      <w:bookmarkStart w:id="133" w:name="z7091e3a31c5d41b683de8a26f1b91590"/>
      <w:bookmarkEnd w:id="133"/>
    </w:p>
    <w:tbl>
      <w:tblPr>
        <w:tblW w:w="3769" w:type="dxa"/>
        <w:jc w:val="left"/>
        <w:tblInd w:w="0" w:type="dxa"/>
        <w:tblLayout w:type="fixed"/>
        <w:tblCellMar>
          <w:top w:w="0" w:type="dxa"/>
          <w:left w:w="0" w:type="dxa"/>
          <w:bottom w:w="0" w:type="dxa"/>
          <w:right w:w="0" w:type="dxa"/>
        </w:tblCellMar>
      </w:tblPr>
      <w:tblGrid>
        <w:gridCol w:w="60"/>
        <w:gridCol w:w="1292"/>
        <w:gridCol w:w="2417"/>
      </w:tblGrid>
      <w:tr>
        <w:trPr/>
        <w:tc>
          <w:tcPr>
            <w:tcW w:w="60"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NEIGHBORHOOD INTELLIGENCE, INC.</w:t>
            </w:r>
          </w:p>
        </w:tc>
      </w:tr>
      <w:tr>
        <w:trPr/>
        <w:tc>
          <w:tcPr>
            <w:tcW w:w="60"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41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24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6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24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NOTICE OF EXERCISE</w:t>
      </w:r>
    </w:p>
    <w:p>
      <w:pPr>
        <w:pStyle w:val="TextBody"/>
        <w:bidi w:val="0"/>
        <w:spacing w:before="0" w:after="0"/>
        <w:jc w:val="left"/>
        <w:rPr>
          <w:sz w:val="20"/>
        </w:rPr>
      </w:pPr>
      <w:r>
        <w:rPr>
          <w:sz w:val="20"/>
        </w:rPr>
      </w:r>
    </w:p>
    <w:p>
      <w:pPr>
        <w:pStyle w:val="TextBody"/>
        <w:bidi w:val="0"/>
        <w:spacing w:before="0" w:after="0"/>
        <w:jc w:val="both"/>
        <w:rPr>
          <w:rFonts w:ascii="Times New Roman;Times;serif" w:hAnsi="Times New Roman;Times;serif"/>
          <w:color w:val="000000"/>
          <w:sz w:val="20"/>
        </w:rPr>
      </w:pPr>
      <w:r>
        <w:rPr>
          <w:rFonts w:ascii="Times New Roman" w:hAnsi="Times New Roman"/>
          <w:color w:val="000000"/>
          <w:sz w:val="20"/>
        </w:rPr>
        <w:t>TO:</w:t>
      </w:r>
      <w:r>
        <w:rPr>
          <w:rFonts w:ascii="Times New Roman;Times;serif" w:hAnsi="Times New Roman;Times;serif"/>
          <w:color w:val="000000"/>
          <w:sz w:val="20"/>
        </w:rPr>
        <w:t>          </w:t>
      </w:r>
      <w:r>
        <w:rPr>
          <w:rFonts w:ascii="Times New Roman" w:hAnsi="Times New Roman"/>
          <w:color w:val="000000"/>
          <w:sz w:val="20"/>
        </w:rPr>
        <w:t>NEIGHBORHOOD INTELLIGENCE, INC.</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 w:hAnsi="Times New Roman"/>
          <w:color w:val="000000"/>
          <w:sz w:val="20"/>
        </w:rPr>
        <w:t>(1)</w:t>
      </w:r>
      <w:r>
        <w:rPr>
          <w:rFonts w:ascii="Times New Roman;Times;serif" w:hAnsi="Times New Roman;Times;serif"/>
          <w:color w:val="000000"/>
          <w:sz w:val="20"/>
        </w:rPr>
        <w:t xml:space="preserve"> </w:t>
      </w:r>
      <w:r>
        <w:rPr>
          <w:rFonts w:ascii="Times New Roman" w:hAnsi="Times New Roman"/>
          <w:color w:val="000000"/>
          <w:sz w:val="20"/>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Times;serif" w:hAnsi="Times New Roman;Times;serif"/>
          <w:color w:val="000000"/>
          <w:sz w:val="20"/>
        </w:rPr>
      </w:pPr>
      <w:r>
        <w:rPr>
          <w:rFonts w:ascii="Times New Roman" w:hAnsi="Times New Roman"/>
          <w:color w:val="000000"/>
          <w:sz w:val="20"/>
        </w:rPr>
        <w:t>(2)</w:t>
      </w:r>
      <w:r>
        <w:rPr>
          <w:rFonts w:ascii="Times New Roman;Times;serif" w:hAnsi="Times New Roman;Times;serif"/>
          <w:color w:val="000000"/>
          <w:sz w:val="20"/>
        </w:rPr>
        <w:t xml:space="preserve"> </w:t>
      </w:r>
      <w:r>
        <w:rPr>
          <w:rFonts w:ascii="Times New Roman" w:hAnsi="Times New Roman"/>
          <w:color w:val="000000"/>
          <w:sz w:val="20"/>
        </w:rPr>
        <w:t>Payment shall take the form of (check applicable box):</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u w:val="single"/>
        </w:rPr>
        <w:t>            </w:t>
      </w:r>
      <w:r>
        <w:rPr>
          <w:color w:val="000000"/>
        </w:rPr>
        <w:t xml:space="preserve">            </w:t>
      </w:r>
      <w:r>
        <w:rPr>
          <w:rFonts w:ascii="Times New Roman" w:hAnsi="Times New Roman"/>
          <w:color w:val="000000"/>
          <w:sz w:val="20"/>
        </w:rPr>
        <w:t>[   ] in lawful money of the United States; or</w:t>
      </w:r>
    </w:p>
    <w:p>
      <w:pPr>
        <w:pStyle w:val="TextBody"/>
        <w:bidi w:val="0"/>
        <w:spacing w:before="0" w:after="0"/>
        <w:jc w:val="left"/>
        <w:rPr>
          <w:color w:val="000000"/>
        </w:rPr>
      </w:pPr>
      <w:r>
        <w:rPr>
          <w:color w:val="000000"/>
        </w:rPr>
        <w:t> </w:t>
      </w:r>
    </w:p>
    <w:p>
      <w:pPr>
        <w:pStyle w:val="TextBody"/>
        <w:bidi w:val="0"/>
        <w:spacing w:before="0" w:after="0"/>
        <w:ind w:left="1440" w:right="0" w:hanging="0"/>
        <w:jc w:val="both"/>
        <w:rPr>
          <w:color w:val="000000"/>
        </w:rPr>
      </w:pPr>
      <w:r>
        <w:rPr>
          <w:color w:val="000000"/>
          <w:u w:val="single"/>
        </w:rPr>
        <w:t>          </w:t>
      </w:r>
      <w:r>
        <w:rPr>
          <w:color w:val="000000"/>
        </w:rPr>
        <w:t xml:space="preserve">           </w:t>
      </w:r>
      <w:r>
        <w:rPr>
          <w:rFonts w:ascii="Times New Roman" w:hAnsi="Times New Roman"/>
          <w:color w:val="000000"/>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Times;serif" w:hAnsi="Times New Roman;Times;serif"/>
          <w:color w:val="000000"/>
          <w:sz w:val="20"/>
        </w:rPr>
      </w:pPr>
      <w:r>
        <w:rPr>
          <w:rFonts w:ascii="Times New Roman" w:hAnsi="Times New Roman"/>
          <w:color w:val="000000"/>
          <w:sz w:val="20"/>
        </w:rPr>
        <w:t>(3)</w:t>
      </w:r>
      <w:r>
        <w:rPr>
          <w:rFonts w:ascii="Times New Roman;Times;serif" w:hAnsi="Times New Roman;Times;serif"/>
          <w:color w:val="000000"/>
          <w:sz w:val="20"/>
        </w:rPr>
        <w:t xml:space="preserve">  </w:t>
      </w:r>
      <w:r>
        <w:rPr>
          <w:rFonts w:ascii="Times New Roman" w:hAnsi="Times New Roman"/>
          <w:color w:val="000000"/>
          <w:sz w:val="20"/>
        </w:rPr>
        <w:t>Please issue said Warrant Shares in the name of the undersigned or in such other name as is specified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4" w:name="z88f338e276574feb8d6ff1e76bcf0109"/>
      <w:bookmarkStart w:id="135" w:name="z88f338e276574feb8d6ff1e76bcf0109"/>
      <w:bookmarkEnd w:id="135"/>
    </w:p>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Warrant Shares shall be delivered to the following DWAC Account Number:</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6" w:name="ze2d41df07244484686c1acf061366a8d"/>
      <w:bookmarkStart w:id="137" w:name="ze2d41df07244484686c1acf061366a8d"/>
      <w:bookmarkEnd w:id="137"/>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8" w:name="z7a6dc3d63a2e43688d63672a804d184b"/>
      <w:bookmarkStart w:id="139" w:name="z7a6dc3d63a2e43688d63672a804d184b"/>
      <w:bookmarkEnd w:id="139"/>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0" w:name="z2cf48ac504db4ff298f634bef65d9a76"/>
      <w:bookmarkStart w:id="141" w:name="z2cf48ac504db4ff298f634bef65d9a76"/>
      <w:bookmarkEnd w:id="141"/>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[SIGNATURE OF HOLDER]</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2" w:name="za1810e9fb0214a5e95a2e2984d7b4750"/>
      <w:bookmarkStart w:id="143" w:name="za1810e9fb0214a5e95a2e2984d7b4750"/>
      <w:bookmarkEnd w:id="143"/>
    </w:p>
    <w:tbl>
      <w:tblPr>
        <w:tblW w:w="2180" w:type="dxa"/>
        <w:jc w:val="left"/>
        <w:tblInd w:w="0" w:type="dxa"/>
        <w:tblLayout w:type="fixed"/>
        <w:tblCellMar>
          <w:top w:w="0" w:type="dxa"/>
          <w:left w:w="0" w:type="dxa"/>
          <w:bottom w:w="0" w:type="dxa"/>
          <w:right w:w="0" w:type="dxa"/>
        </w:tblCellMar>
      </w:tblPr>
      <w:tblGrid>
        <w:gridCol w:w="2120"/>
        <w:gridCol w:w="60"/>
      </w:tblGrid>
      <w:tr>
        <w:trPr/>
        <w:tc>
          <w:tcPr>
            <w:tcW w:w="21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 of Investing Entity: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44" w:name="z06f11bb3790e46e8a1a9804dc38f1e0e"/>
      <w:bookmarkStart w:id="145" w:name="z06f11bb3790e46e8a1a9804dc38f1e0e"/>
      <w:bookmarkEnd w:id="145"/>
    </w:p>
    <w:tbl>
      <w:tblPr>
        <w:tblW w:w="4535" w:type="dxa"/>
        <w:jc w:val="left"/>
        <w:tblInd w:w="0" w:type="dxa"/>
        <w:tblLayout w:type="fixed"/>
        <w:tblCellMar>
          <w:top w:w="0" w:type="dxa"/>
          <w:left w:w="0" w:type="dxa"/>
          <w:bottom w:w="0" w:type="dxa"/>
          <w:right w:w="0" w:type="dxa"/>
        </w:tblCellMar>
      </w:tblPr>
      <w:tblGrid>
        <w:gridCol w:w="4460"/>
        <w:gridCol w:w="75"/>
      </w:tblGrid>
      <w:tr>
        <w:trPr/>
        <w:tc>
          <w:tcPr>
            <w:tcW w:w="4460" w:type="dxa"/>
            <w:tcBorders/>
            <w:vAlign w:val="center"/>
          </w:tcPr>
          <w:p>
            <w:pPr>
              <w:pStyle w:val="TableContents"/>
              <w:bidi w:val="0"/>
              <w:spacing w:before="0" w:after="0"/>
              <w:jc w:val="both"/>
              <w:rPr>
                <w:rFonts w:ascii="Times New Roman" w:hAnsi="Times New Roman"/>
                <w:sz w:val="24"/>
              </w:rPr>
            </w:pPr>
            <w:r>
              <w:rPr>
                <w:rFonts w:ascii="Times New Roman" w:hAnsi="Times New Roman"/>
                <w:i/>
                <w:sz w:val="20"/>
              </w:rPr>
              <w:t>Signature of Authorized Signatory of Investing Entity</w:t>
            </w:r>
            <w:r>
              <w:rPr>
                <w:rFonts w:ascii="Times New Roman" w:hAnsi="Times New Roman"/>
                <w:sz w:val="20"/>
              </w:rPr>
              <w:t>:</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46" w:name="z47ff24c86d86426fad191cf8c86d789f"/>
      <w:bookmarkStart w:id="147" w:name="z47ff24c86d86426fad191cf8c86d789f"/>
      <w:bookmarkEnd w:id="147"/>
    </w:p>
    <w:tbl>
      <w:tblPr>
        <w:tblW w:w="2645" w:type="dxa"/>
        <w:jc w:val="left"/>
        <w:tblInd w:w="0" w:type="dxa"/>
        <w:tblLayout w:type="fixed"/>
        <w:tblCellMar>
          <w:top w:w="0" w:type="dxa"/>
          <w:left w:w="0" w:type="dxa"/>
          <w:bottom w:w="0" w:type="dxa"/>
          <w:right w:w="0" w:type="dxa"/>
        </w:tblCellMar>
      </w:tblPr>
      <w:tblGrid>
        <w:gridCol w:w="2570"/>
        <w:gridCol w:w="75"/>
      </w:tblGrid>
      <w:tr>
        <w:trPr/>
        <w:tc>
          <w:tcPr>
            <w:tcW w:w="25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 of Authorized Signatory: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48" w:name="z7e6e9058be764b929011ac03eeaf32af"/>
      <w:bookmarkStart w:id="149" w:name="z7e6e9058be764b929011ac03eeaf32af"/>
      <w:bookmarkEnd w:id="149"/>
    </w:p>
    <w:tbl>
      <w:tblPr>
        <w:tblW w:w="2570" w:type="dxa"/>
        <w:jc w:val="left"/>
        <w:tblInd w:w="0" w:type="dxa"/>
        <w:tblLayout w:type="fixed"/>
        <w:tblCellMar>
          <w:top w:w="0" w:type="dxa"/>
          <w:left w:w="0" w:type="dxa"/>
          <w:bottom w:w="0" w:type="dxa"/>
          <w:right w:w="0" w:type="dxa"/>
        </w:tblCellMar>
      </w:tblPr>
      <w:tblGrid>
        <w:gridCol w:w="2495"/>
        <w:gridCol w:w="75"/>
      </w:tblGrid>
      <w:tr>
        <w:trPr/>
        <w:tc>
          <w:tcPr>
            <w:tcW w:w="24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Title of Authorized Signatory: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50" w:name="z6693b0eb988b482f9de959f6798f1d14"/>
      <w:bookmarkStart w:id="151" w:name="z6693b0eb988b482f9de959f6798f1d14"/>
      <w:bookmarkEnd w:id="151"/>
    </w:p>
    <w:tbl>
      <w:tblPr>
        <w:tblW w:w="515" w:type="dxa"/>
        <w:jc w:val="left"/>
        <w:tblInd w:w="0" w:type="dxa"/>
        <w:tblLayout w:type="fixed"/>
        <w:tblCellMar>
          <w:top w:w="0" w:type="dxa"/>
          <w:left w:w="0" w:type="dxa"/>
          <w:bottom w:w="0" w:type="dxa"/>
          <w:right w:w="0" w:type="dxa"/>
        </w:tblCellMar>
      </w:tblPr>
      <w:tblGrid>
        <w:gridCol w:w="455"/>
        <w:gridCol w:w="60"/>
      </w:tblGrid>
      <w:tr>
        <w:trPr/>
        <w:tc>
          <w:tcPr>
            <w:tcW w:w="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B</w:t>
      </w:r>
    </w:p>
    <w:p>
      <w:pPr>
        <w:pStyle w:val="TextBody"/>
        <w:bidi w:val="0"/>
        <w:spacing w:before="0" w:after="0"/>
        <w:jc w:val="both"/>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ASSIGNMENT FORM</w:t>
      </w:r>
    </w:p>
    <w:p>
      <w:pPr>
        <w:pStyle w:val="TextBody"/>
        <w:bidi w:val="0"/>
        <w:spacing w:before="0" w:after="0"/>
        <w:ind w:left="0" w:right="0" w:firstLine="210"/>
        <w:jc w:val="both"/>
        <w:rPr>
          <w:rFonts w:ascii="Times New Roman" w:hAnsi="Times New Roman"/>
          <w:i/>
          <w:color w:val="000000"/>
          <w:sz w:val="20"/>
        </w:rPr>
      </w:pPr>
      <w:r>
        <w:rPr>
          <w:rFonts w:ascii="Times New Roman" w:hAnsi="Times New Roman"/>
          <w:i/>
          <w:color w:val="000000"/>
          <w:sz w:val="20"/>
        </w:rPr>
        <w:t>(To assign the foregoing Warrant, execute this form and supply required information.  Do not use this form to purchase shares.)</w:t>
      </w:r>
    </w:p>
    <w:p>
      <w:pPr>
        <w:pStyle w:val="TextBody"/>
        <w:bidi w:val="0"/>
        <w:spacing w:before="0" w:after="0"/>
        <w:jc w:val="left"/>
        <w:rPr>
          <w:color w:val="000000"/>
        </w:rPr>
      </w:pPr>
      <w:r>
        <w:rPr>
          <w:color w:val="000000"/>
        </w:rPr>
        <w:t> </w:t>
      </w:r>
    </w:p>
    <w:p>
      <w:pPr>
        <w:pStyle w:val="TextBody"/>
        <w:bidi w:val="0"/>
        <w:spacing w:before="0" w:after="0"/>
        <w:ind w:left="0" w:right="0" w:firstLine="210"/>
        <w:jc w:val="both"/>
        <w:rPr>
          <w:rFonts w:ascii="Times New Roman" w:hAnsi="Times New Roman"/>
          <w:color w:val="000000"/>
          <w:sz w:val="20"/>
        </w:rPr>
      </w:pPr>
      <w:r>
        <w:rPr>
          <w:rFonts w:ascii="Times New Roman" w:hAnsi="Times New Roman"/>
          <w:color w:val="000000"/>
          <w:sz w:val="20"/>
        </w:rPr>
        <w:t>FOR VALUE RECEIVED, the foregoing Warrant and all rights evidenced thereby are hereby assigned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2" w:name="z79f96d81bfec4f278a6c1367861d9073"/>
      <w:bookmarkStart w:id="153" w:name="z79f96d81bfec4f278a6c1367861d9073"/>
      <w:bookmarkEnd w:id="153"/>
    </w:p>
    <w:tbl>
      <w:tblPr>
        <w:tblW w:w="4330" w:type="dxa"/>
        <w:jc w:val="left"/>
        <w:tblInd w:w="0" w:type="dxa"/>
        <w:tblLayout w:type="fixed"/>
        <w:tblCellMar>
          <w:top w:w="0" w:type="dxa"/>
          <w:left w:w="0" w:type="dxa"/>
          <w:bottom w:w="0" w:type="dxa"/>
          <w:right w:w="0" w:type="dxa"/>
        </w:tblCellMar>
      </w:tblPr>
      <w:tblGrid>
        <w:gridCol w:w="3170"/>
        <w:gridCol w:w="60"/>
        <w:gridCol w:w="1100"/>
      </w:tblGrid>
      <w:tr>
        <w:trPr/>
        <w:tc>
          <w:tcPr>
            <w:tcW w:w="317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Name:</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(Please Print)</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Address:</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(Please Print)</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Phone Number:</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Email Address:</w:t>
            </w:r>
          </w:p>
        </w:tc>
        <w:tc>
          <w:tcPr>
            <w:tcW w:w="60" w:type="dxa"/>
            <w:tcBorders/>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Dated: _______________ __, ______</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4" w:name="z0fcf9e49a0d148e6bafe41592c0d97f0"/>
      <w:bookmarkStart w:id="155" w:name="z0fcf9e49a0d148e6bafe41592c0d97f0"/>
      <w:bookmarkEnd w:id="155"/>
    </w:p>
    <w:tbl>
      <w:tblPr>
        <w:tblW w:w="1775" w:type="dxa"/>
        <w:jc w:val="left"/>
        <w:tblInd w:w="0" w:type="dxa"/>
        <w:tblLayout w:type="fixed"/>
        <w:tblCellMar>
          <w:top w:w="0" w:type="dxa"/>
          <w:left w:w="0" w:type="dxa"/>
          <w:bottom w:w="0" w:type="dxa"/>
          <w:right w:w="0" w:type="dxa"/>
        </w:tblCellMar>
      </w:tblPr>
      <w:tblGrid>
        <w:gridCol w:w="1595"/>
        <w:gridCol w:w="60"/>
        <w:gridCol w:w="60"/>
        <w:gridCol w:w="60"/>
      </w:tblGrid>
      <w:tr>
        <w:trPr/>
        <w:tc>
          <w:tcPr>
            <w:tcW w:w="15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Holder’s Signature: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Holder’s Address:</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56" w:name="ef20083313_ex5-1.htm"/>
      <w:bookmarkStart w:id="157" w:name="ksef20083313_ex51"/>
      <w:bookmarkStart w:id="158" w:name="ef20083313_ex5-1.htm"/>
      <w:bookmarkStart w:id="159" w:name="ksef20083313_ex51"/>
      <w:bookmarkEnd w:id="158"/>
      <w:bookmarkEnd w:id="15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5.1</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0" w:name="z889d129f7f614845b207c6a58f4c74e7"/>
      <w:bookmarkStart w:id="161" w:name="z889d129f7f614845b207c6a58f4c74e7"/>
      <w:bookmarkEnd w:id="161"/>
    </w:p>
    <w:tbl>
      <w:tblPr>
        <w:tblW w:w="7414" w:type="dxa"/>
        <w:jc w:val="left"/>
        <w:tblInd w:w="0" w:type="dxa"/>
        <w:tblLayout w:type="fixed"/>
        <w:tblCellMar>
          <w:top w:w="0" w:type="dxa"/>
          <w:left w:w="0" w:type="dxa"/>
          <w:bottom w:w="0" w:type="dxa"/>
          <w:right w:w="0" w:type="dxa"/>
        </w:tblCellMar>
      </w:tblPr>
      <w:tblGrid>
        <w:gridCol w:w="3675"/>
        <w:gridCol w:w="60"/>
        <w:gridCol w:w="1517"/>
        <w:gridCol w:w="2162"/>
      </w:tblGrid>
      <w:tr>
        <w:trPr/>
        <w:tc>
          <w:tcPr>
            <w:tcW w:w="3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1271 Avenue of the Americas</w:t>
            </w:r>
          </w:p>
          <w:p>
            <w:pPr>
              <w:pStyle w:val="TableContents"/>
              <w:bidi w:val="0"/>
              <w:spacing w:before="0" w:after="0"/>
              <w:jc w:val="left"/>
              <w:rPr>
                <w:rFonts w:ascii="Times New Roman" w:hAnsi="Times New Roman"/>
                <w:sz w:val="20"/>
              </w:rPr>
            </w:pPr>
            <w:r>
              <w:rPr>
                <w:rFonts w:ascii="Times New Roman" w:hAnsi="Times New Roman"/>
                <w:sz w:val="20"/>
              </w:rPr>
              <w:t>New York, New York  10020-1401</w:t>
            </w:r>
          </w:p>
          <w:p>
            <w:pPr>
              <w:pStyle w:val="TableContents"/>
              <w:bidi w:val="0"/>
              <w:spacing w:before="0" w:after="0"/>
              <w:jc w:val="left"/>
              <w:rPr>
                <w:rFonts w:ascii="Times New Roman" w:hAnsi="Times New Roman"/>
                <w:sz w:val="20"/>
              </w:rPr>
            </w:pPr>
            <w:r>
              <w:rPr>
                <w:rFonts w:ascii="Times New Roman" w:hAnsi="Times New Roman"/>
                <w:sz w:val="20"/>
              </w:rPr>
              <w:t>Tel: +1.212.906.1200  Fax: +1.212.751.4864</w:t>
            </w:r>
          </w:p>
          <w:p>
            <w:pPr>
              <w:pStyle w:val="TableContents"/>
              <w:bidi w:val="0"/>
              <w:spacing w:before="0" w:after="0"/>
              <w:jc w:val="left"/>
              <w:rPr>
                <w:rFonts w:ascii="Times New Roman" w:hAnsi="Times New Roman"/>
                <w:sz w:val="20"/>
              </w:rPr>
            </w:pPr>
            <w:r>
              <w:rPr>
                <w:rFonts w:ascii="Times New Roman" w:hAnsi="Times New Roman"/>
                <w:sz w:val="20"/>
              </w:rPr>
              <w:t>www.lw.com</w:t>
            </w:r>
          </w:p>
        </w:tc>
      </w:tr>
      <w:tr>
        <w:trPr/>
        <w:tc>
          <w:tcPr>
            <w:tcW w:w="3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pPr>
            <w:r>
              <w:rPr/>
              <w:t> </w:t>
            </w:r>
          </w:p>
        </w:tc>
      </w:tr>
      <w:tr>
        <w:trPr/>
        <w:tc>
          <w:tcPr>
            <w:tcW w:w="3675" w:type="dxa"/>
            <w:vMerge w:val="restart"/>
            <w:tcBorders/>
            <w:vAlign w:val="center"/>
          </w:tcPr>
          <w:p>
            <w:pPr>
              <w:pStyle w:val="TableContents"/>
              <w:bidi w:val="0"/>
              <w:spacing w:before="0" w:after="0"/>
              <w:jc w:val="left"/>
              <w:rPr/>
            </w:pPr>
            <w:r>
              <w:rPr/>
              <w:t> </w:t>
            </w:r>
            <w:r>
              <w:rPr/>
              <w:drawing>
                <wp:inline distT="0" distB="0" distL="0" distR="0">
                  <wp:extent cx="22574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152400"/>
                          </a:xfrm>
                          <a:prstGeom prst="rect">
                            <a:avLst/>
                          </a:prstGeom>
                        </pic:spPr>
                      </pic:pic>
                    </a:graphicData>
                  </a:graphic>
                </wp:inline>
              </w:drawing>
            </w:r>
            <w:r>
              <w:rPr/>
              <w:t xml:space="preserve">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sz w:val="20"/>
              </w:rPr>
            </w:pPr>
            <w:r>
              <w:rPr>
                <w:sz w:val="20"/>
              </w:rPr>
              <w:t>October 6, 2026</w:t>
            </w:r>
          </w:p>
        </w:tc>
        <w:tc>
          <w:tcPr>
            <w:tcW w:w="60"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sz w:val="20"/>
              </w:rPr>
            </w:pPr>
            <w:r>
              <w:rPr>
                <w:sz w:val="20"/>
              </w:rPr>
              <w:t>FIRM / AFFILIATE OFFICES</w:t>
            </w:r>
          </w:p>
        </w:tc>
      </w:tr>
      <w:tr>
        <w:trPr/>
        <w:tc>
          <w:tcPr>
            <w:tcW w:w="36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r>
          </w:p>
        </w:tc>
        <w:tc>
          <w:tcPr>
            <w:tcW w:w="1517" w:type="dxa"/>
            <w:tcBorders/>
            <w:vAlign w:val="center"/>
          </w:tcPr>
          <w:p>
            <w:pPr>
              <w:pStyle w:val="TableContents"/>
              <w:bidi w:val="0"/>
              <w:spacing w:before="0" w:after="0"/>
              <w:jc w:val="left"/>
              <w:rPr>
                <w:rFonts w:ascii="Times New Roman" w:hAnsi="Times New Roman"/>
                <w:sz w:val="16"/>
              </w:rPr>
            </w:pPr>
            <w:r>
              <w:rPr>
                <w:rFonts w:ascii="Times New Roman" w:hAnsi="Times New Roman"/>
                <w:sz w:val="20"/>
              </w:rPr>
              <w:t>Austin</w:t>
            </w:r>
            <w:r>
              <w:rPr>
                <w:rFonts w:ascii="Times New Roman" w:hAnsi="Times New Roman"/>
                <w:sz w:val="16"/>
              </w:rPr>
              <w:t> </w:t>
            </w:r>
          </w:p>
          <w:p>
            <w:pPr>
              <w:pStyle w:val="TableContents"/>
              <w:bidi w:val="0"/>
              <w:spacing w:before="0" w:after="0"/>
              <w:jc w:val="left"/>
              <w:rPr>
                <w:rFonts w:ascii="Times New Roman" w:hAnsi="Times New Roman"/>
                <w:sz w:val="20"/>
              </w:rPr>
            </w:pPr>
            <w:r>
              <w:rPr>
                <w:rFonts w:ascii="Times New Roman" w:hAnsi="Times New Roman"/>
                <w:sz w:val="20"/>
              </w:rPr>
              <w:t>Beijing</w:t>
            </w:r>
          </w:p>
          <w:p>
            <w:pPr>
              <w:pStyle w:val="TableContents"/>
              <w:bidi w:val="0"/>
              <w:spacing w:before="0" w:after="0"/>
              <w:jc w:val="left"/>
              <w:rPr>
                <w:rFonts w:ascii="Times New Roman" w:hAnsi="Times New Roman"/>
                <w:sz w:val="20"/>
              </w:rPr>
            </w:pPr>
            <w:r>
              <w:rPr>
                <w:rFonts w:ascii="Times New Roman" w:hAnsi="Times New Roman"/>
                <w:sz w:val="20"/>
              </w:rPr>
              <w:t>Boston</w:t>
            </w:r>
          </w:p>
          <w:p>
            <w:pPr>
              <w:pStyle w:val="TableContents"/>
              <w:bidi w:val="0"/>
              <w:spacing w:before="0" w:after="0"/>
              <w:jc w:val="left"/>
              <w:rPr>
                <w:rFonts w:ascii="Times New Roman" w:hAnsi="Times New Roman"/>
                <w:sz w:val="20"/>
              </w:rPr>
            </w:pPr>
            <w:r>
              <w:rPr>
                <w:rFonts w:ascii="Times New Roman" w:hAnsi="Times New Roman"/>
                <w:sz w:val="20"/>
              </w:rPr>
              <w:t>Brussels</w:t>
            </w:r>
          </w:p>
          <w:p>
            <w:pPr>
              <w:pStyle w:val="TableContents"/>
              <w:bidi w:val="0"/>
              <w:spacing w:before="0" w:after="0"/>
              <w:jc w:val="left"/>
              <w:rPr>
                <w:rFonts w:ascii="Times New Roman" w:hAnsi="Times New Roman"/>
                <w:sz w:val="20"/>
              </w:rPr>
            </w:pPr>
            <w:r>
              <w:rPr>
                <w:rFonts w:ascii="Times New Roman" w:hAnsi="Times New Roman"/>
                <w:sz w:val="20"/>
              </w:rPr>
              <w:t>Chicago</w:t>
            </w:r>
          </w:p>
          <w:p>
            <w:pPr>
              <w:pStyle w:val="TableContents"/>
              <w:bidi w:val="0"/>
              <w:spacing w:before="0" w:after="0"/>
              <w:jc w:val="left"/>
              <w:rPr>
                <w:rFonts w:ascii="Times New Roman" w:hAnsi="Times New Roman"/>
                <w:sz w:val="20"/>
              </w:rPr>
            </w:pPr>
            <w:r>
              <w:rPr>
                <w:rFonts w:ascii="Times New Roman" w:hAnsi="Times New Roman"/>
                <w:sz w:val="20"/>
              </w:rPr>
              <w:t>Dubai</w:t>
            </w:r>
          </w:p>
          <w:p>
            <w:pPr>
              <w:pStyle w:val="TableContents"/>
              <w:bidi w:val="0"/>
              <w:spacing w:before="0" w:after="0"/>
              <w:jc w:val="left"/>
              <w:rPr>
                <w:rFonts w:ascii="Times New Roman" w:hAnsi="Times New Roman"/>
                <w:sz w:val="20"/>
              </w:rPr>
            </w:pPr>
            <w:r>
              <w:rPr>
                <w:rFonts w:ascii="Times New Roman" w:hAnsi="Times New Roman"/>
                <w:sz w:val="20"/>
              </w:rPr>
              <w:t>Düsseldorf</w:t>
            </w:r>
          </w:p>
          <w:p>
            <w:pPr>
              <w:pStyle w:val="TableContents"/>
              <w:bidi w:val="0"/>
              <w:spacing w:before="0" w:after="0"/>
              <w:jc w:val="left"/>
              <w:rPr>
                <w:rFonts w:ascii="Times New Roman" w:hAnsi="Times New Roman"/>
                <w:sz w:val="20"/>
              </w:rPr>
            </w:pPr>
            <w:r>
              <w:rPr>
                <w:rFonts w:ascii="Times New Roman" w:hAnsi="Times New Roman"/>
                <w:sz w:val="20"/>
              </w:rPr>
              <w:t>Frankfurt</w:t>
            </w:r>
          </w:p>
          <w:p>
            <w:pPr>
              <w:pStyle w:val="TableContents"/>
              <w:bidi w:val="0"/>
              <w:spacing w:before="0" w:after="0"/>
              <w:jc w:val="left"/>
              <w:rPr>
                <w:rFonts w:ascii="Times New Roman" w:hAnsi="Times New Roman"/>
                <w:sz w:val="20"/>
              </w:rPr>
            </w:pPr>
            <w:r>
              <w:rPr>
                <w:rFonts w:ascii="Times New Roman" w:hAnsi="Times New Roman"/>
                <w:sz w:val="20"/>
              </w:rPr>
              <w:t>Hamburg</w:t>
            </w:r>
          </w:p>
          <w:p>
            <w:pPr>
              <w:pStyle w:val="TableContents"/>
              <w:bidi w:val="0"/>
              <w:spacing w:before="0" w:after="0"/>
              <w:jc w:val="left"/>
              <w:rPr>
                <w:rFonts w:ascii="Times New Roman" w:hAnsi="Times New Roman"/>
                <w:sz w:val="20"/>
              </w:rPr>
            </w:pPr>
            <w:r>
              <w:rPr>
                <w:rFonts w:ascii="Times New Roman" w:hAnsi="Times New Roman"/>
                <w:sz w:val="20"/>
              </w:rPr>
              <w:t>Hong Kong</w:t>
            </w:r>
          </w:p>
          <w:p>
            <w:pPr>
              <w:pStyle w:val="TableContents"/>
              <w:bidi w:val="0"/>
              <w:spacing w:before="0" w:after="0"/>
              <w:jc w:val="left"/>
              <w:rPr>
                <w:rFonts w:ascii="Times New Roman" w:hAnsi="Times New Roman"/>
                <w:sz w:val="20"/>
              </w:rPr>
            </w:pPr>
            <w:r>
              <w:rPr>
                <w:rFonts w:ascii="Times New Roman" w:hAnsi="Times New Roman"/>
                <w:sz w:val="20"/>
              </w:rPr>
              <w:t>Houston</w:t>
            </w:r>
          </w:p>
          <w:p>
            <w:pPr>
              <w:pStyle w:val="TableContents"/>
              <w:bidi w:val="0"/>
              <w:spacing w:before="0" w:after="0"/>
              <w:jc w:val="left"/>
              <w:rPr>
                <w:rFonts w:ascii="Times New Roman" w:hAnsi="Times New Roman"/>
                <w:sz w:val="20"/>
              </w:rPr>
            </w:pPr>
            <w:r>
              <w:rPr>
                <w:rFonts w:ascii="Times New Roman" w:hAnsi="Times New Roman"/>
                <w:sz w:val="20"/>
              </w:rPr>
              <w:t>London</w:t>
            </w:r>
          </w:p>
          <w:p>
            <w:pPr>
              <w:pStyle w:val="TableContents"/>
              <w:bidi w:val="0"/>
              <w:spacing w:before="0" w:after="0"/>
              <w:jc w:val="left"/>
              <w:rPr>
                <w:rFonts w:ascii="Times New Roman" w:hAnsi="Times New Roman"/>
                <w:sz w:val="20"/>
              </w:rPr>
            </w:pPr>
            <w:r>
              <w:rPr>
                <w:rFonts w:ascii="Times New Roman" w:hAnsi="Times New Roman"/>
                <w:sz w:val="20"/>
              </w:rPr>
              <w:t>Los Angeles</w:t>
            </w:r>
          </w:p>
          <w:p>
            <w:pPr>
              <w:pStyle w:val="TableContents"/>
              <w:bidi w:val="0"/>
              <w:spacing w:before="0" w:after="0"/>
              <w:jc w:val="left"/>
              <w:rPr>
                <w:rFonts w:ascii="Times New Roman" w:hAnsi="Times New Roman"/>
                <w:sz w:val="20"/>
              </w:rPr>
            </w:pPr>
            <w:r>
              <w:rPr>
                <w:rFonts w:ascii="Times New Roman" w:hAnsi="Times New Roman"/>
                <w:sz w:val="20"/>
              </w:rPr>
              <w:t>Madrid</w:t>
            </w:r>
          </w:p>
        </w:tc>
        <w:tc>
          <w:tcPr>
            <w:tcW w:w="21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Milan</w:t>
            </w:r>
          </w:p>
          <w:p>
            <w:pPr>
              <w:pStyle w:val="TableContents"/>
              <w:bidi w:val="0"/>
              <w:spacing w:before="0" w:after="0"/>
              <w:jc w:val="left"/>
              <w:rPr>
                <w:rFonts w:ascii="Times New Roman" w:hAnsi="Times New Roman"/>
                <w:sz w:val="20"/>
              </w:rPr>
            </w:pPr>
            <w:r>
              <w:rPr>
                <w:rFonts w:ascii="Times New Roman" w:hAnsi="Times New Roman"/>
                <w:sz w:val="20"/>
              </w:rPr>
              <w:t>Munich</w:t>
            </w:r>
          </w:p>
          <w:p>
            <w:pPr>
              <w:pStyle w:val="TableContents"/>
              <w:bidi w:val="0"/>
              <w:spacing w:before="0" w:after="0"/>
              <w:jc w:val="left"/>
              <w:rPr>
                <w:rFonts w:ascii="Times New Roman" w:hAnsi="Times New Roman"/>
                <w:sz w:val="20"/>
              </w:rPr>
            </w:pPr>
            <w:r>
              <w:rPr>
                <w:rFonts w:ascii="Times New Roman" w:hAnsi="Times New Roman"/>
                <w:sz w:val="20"/>
              </w:rPr>
              <w:t>New York</w:t>
            </w:r>
          </w:p>
          <w:p>
            <w:pPr>
              <w:pStyle w:val="TableContents"/>
              <w:bidi w:val="0"/>
              <w:spacing w:before="0" w:after="0"/>
              <w:jc w:val="left"/>
              <w:rPr>
                <w:rFonts w:ascii="Times New Roman" w:hAnsi="Times New Roman"/>
                <w:sz w:val="20"/>
              </w:rPr>
            </w:pPr>
            <w:r>
              <w:rPr>
                <w:rFonts w:ascii="Times New Roman" w:hAnsi="Times New Roman"/>
                <w:sz w:val="20"/>
              </w:rPr>
              <w:t>Orange County</w:t>
            </w:r>
          </w:p>
          <w:p>
            <w:pPr>
              <w:pStyle w:val="TableContents"/>
              <w:bidi w:val="0"/>
              <w:spacing w:before="0" w:after="0"/>
              <w:jc w:val="left"/>
              <w:rPr>
                <w:rFonts w:ascii="Times New Roman" w:hAnsi="Times New Roman"/>
                <w:sz w:val="20"/>
              </w:rPr>
            </w:pPr>
            <w:r>
              <w:rPr>
                <w:rFonts w:ascii="Times New Roman" w:hAnsi="Times New Roman"/>
                <w:sz w:val="20"/>
              </w:rPr>
              <w:t>Paris</w:t>
            </w:r>
          </w:p>
          <w:p>
            <w:pPr>
              <w:pStyle w:val="TableContents"/>
              <w:bidi w:val="0"/>
              <w:spacing w:before="0" w:after="0"/>
              <w:jc w:val="left"/>
              <w:rPr>
                <w:rFonts w:ascii="Times New Roman" w:hAnsi="Times New Roman"/>
                <w:sz w:val="20"/>
              </w:rPr>
            </w:pPr>
            <w:r>
              <w:rPr>
                <w:rFonts w:ascii="Times New Roman" w:hAnsi="Times New Roman"/>
                <w:sz w:val="20"/>
              </w:rPr>
              <w:t>Riyadh</w:t>
            </w:r>
          </w:p>
          <w:p>
            <w:pPr>
              <w:pStyle w:val="TableContents"/>
              <w:bidi w:val="0"/>
              <w:spacing w:before="0" w:after="0"/>
              <w:jc w:val="left"/>
              <w:rPr>
                <w:rFonts w:ascii="Times New Roman" w:hAnsi="Times New Roman"/>
                <w:sz w:val="20"/>
              </w:rPr>
            </w:pPr>
            <w:r>
              <w:rPr>
                <w:rFonts w:ascii="Times New Roman" w:hAnsi="Times New Roman"/>
                <w:sz w:val="20"/>
              </w:rPr>
              <w:t>San Diego</w:t>
            </w:r>
          </w:p>
          <w:p>
            <w:pPr>
              <w:pStyle w:val="TableContents"/>
              <w:bidi w:val="0"/>
              <w:spacing w:before="0" w:after="0"/>
              <w:jc w:val="left"/>
              <w:rPr>
                <w:rFonts w:ascii="Times New Roman" w:hAnsi="Times New Roman"/>
                <w:sz w:val="20"/>
              </w:rPr>
            </w:pPr>
            <w:r>
              <w:rPr>
                <w:rFonts w:ascii="Times New Roman" w:hAnsi="Times New Roman"/>
                <w:sz w:val="20"/>
              </w:rPr>
              <w:t>San Francisco</w:t>
            </w:r>
          </w:p>
          <w:p>
            <w:pPr>
              <w:pStyle w:val="TableContents"/>
              <w:bidi w:val="0"/>
              <w:spacing w:before="0" w:after="0"/>
              <w:jc w:val="left"/>
              <w:rPr/>
            </w:pPr>
            <w:r>
              <w:rPr>
                <w:rFonts w:ascii="Times New Roman" w:hAnsi="Times New Roman"/>
                <w:sz w:val="20"/>
              </w:rPr>
              <w:t>Seoul</w:t>
            </w:r>
            <w:r>
              <w:rPr>
                <w:sz w:val="20"/>
              </w:rPr>
              <w:br/>
            </w:r>
            <w:r>
              <w:rPr>
                <w:rFonts w:ascii="Times New Roman" w:hAnsi="Times New Roman"/>
                <w:sz w:val="20"/>
              </w:rPr>
              <w:t>Silicon Valley</w:t>
            </w:r>
          </w:p>
          <w:p>
            <w:pPr>
              <w:pStyle w:val="TableContents"/>
              <w:bidi w:val="0"/>
              <w:spacing w:before="0" w:after="0"/>
              <w:jc w:val="left"/>
              <w:rPr>
                <w:rFonts w:ascii="Times New Roman" w:hAnsi="Times New Roman"/>
                <w:sz w:val="20"/>
              </w:rPr>
            </w:pPr>
            <w:r>
              <w:rPr>
                <w:rFonts w:ascii="Times New Roman" w:hAnsi="Times New Roman"/>
                <w:sz w:val="20"/>
              </w:rPr>
              <w:t>Singapore</w:t>
            </w:r>
          </w:p>
          <w:p>
            <w:pPr>
              <w:pStyle w:val="TableContents"/>
              <w:bidi w:val="0"/>
              <w:spacing w:before="0" w:after="0"/>
              <w:jc w:val="left"/>
              <w:rPr>
                <w:rFonts w:ascii="Times New Roman" w:hAnsi="Times New Roman"/>
                <w:sz w:val="20"/>
              </w:rPr>
            </w:pPr>
            <w:r>
              <w:rPr>
                <w:rFonts w:ascii="Times New Roman" w:hAnsi="Times New Roman"/>
                <w:sz w:val="20"/>
              </w:rPr>
              <w:t>Tel Aviv</w:t>
            </w:r>
          </w:p>
          <w:p>
            <w:pPr>
              <w:pStyle w:val="TableContents"/>
              <w:bidi w:val="0"/>
              <w:spacing w:before="0" w:after="0"/>
              <w:jc w:val="left"/>
              <w:rPr>
                <w:rFonts w:ascii="Times New Roman" w:hAnsi="Times New Roman"/>
                <w:sz w:val="20"/>
              </w:rPr>
            </w:pPr>
            <w:r>
              <w:rPr>
                <w:rFonts w:ascii="Times New Roman" w:hAnsi="Times New Roman"/>
                <w:sz w:val="20"/>
              </w:rPr>
              <w:t>Tokyo</w:t>
            </w:r>
          </w:p>
          <w:p>
            <w:pPr>
              <w:pStyle w:val="TableContents"/>
              <w:bidi w:val="0"/>
              <w:spacing w:before="0" w:after="0"/>
              <w:jc w:val="left"/>
              <w:rPr>
                <w:rFonts w:ascii="Times New Roman" w:hAnsi="Times New Roman"/>
                <w:sz w:val="20"/>
              </w:rPr>
            </w:pPr>
            <w:r>
              <w:rPr>
                <w:rFonts w:ascii="Times New Roman" w:hAnsi="Times New Roman"/>
                <w:sz w:val="20"/>
              </w:rPr>
              <w:t>Washington, D.C.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Neighborhood Intelligence, Inc.</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433 W. Ascension Way, 3rd Floor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Murray, Utah 84123</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2" w:name="z89e479fb6c494942b40b3e3cd2e61d29"/>
      <w:bookmarkStart w:id="163" w:name="z89e479fb6c494942b40b3e3cd2e61d29"/>
      <w:bookmarkEnd w:id="163"/>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w:t>
            </w:r>
          </w:p>
        </w:tc>
        <w:tc>
          <w:tcPr>
            <w:tcW w:w="9926" w:type="dxa"/>
            <w:tcBorders/>
            <w:vAlign w:val="center"/>
          </w:tcPr>
          <w:p>
            <w:pPr>
              <w:pStyle w:val="TableContents"/>
              <w:bidi w:val="0"/>
              <w:spacing w:before="0" w:after="0"/>
              <w:jc w:val="left"/>
              <w:rPr/>
            </w:pPr>
            <w:r>
              <w:rPr>
                <w:rFonts w:ascii="Times New Roman" w:hAnsi="Times New Roman"/>
                <w:sz w:val="20"/>
              </w:rPr>
              <w:t>Registration Statement on Form S-3 (No. 333-297978)</w:t>
            </w:r>
            <w:r>
              <w:rPr/>
              <w:br/>
              <w:t>11,243,511 shares of Common Stock, $0.0001 par value per share, Pre-Funded Warrants to purchase up to 5,241,997 shares of Common Stock, Common Warrants to purchase up to 16,123,189 shares of Common Stock, and Placement Agent Warrants to purchase up to 494,565 shares of Common Stock</w:t>
            </w:r>
          </w:p>
        </w:tc>
      </w:tr>
    </w:tbl>
    <w:p>
      <w:pPr>
        <w:pStyle w:val="TextBody"/>
        <w:bidi w:val="0"/>
        <w:spacing w:before="0" w:after="0"/>
        <w:ind w:left="720" w:right="0" w:hanging="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the addressee set forth above: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have acted as special counsel to Neighborhood Intelligence, Inc., a Delaware corporation (the “</w:t>
      </w:r>
      <w:r>
        <w:rPr>
          <w:rFonts w:ascii="Times New Roman" w:hAnsi="Times New Roman"/>
          <w:b/>
          <w:i/>
          <w:color w:val="000000"/>
          <w:sz w:val="20"/>
        </w:rPr>
        <w:t>Company</w:t>
      </w:r>
      <w:r>
        <w:rPr>
          <w:rFonts w:ascii="Times New Roman" w:hAnsi="Times New Roman"/>
          <w:color w:val="000000"/>
          <w:sz w:val="20"/>
        </w:rPr>
        <w:t>”), in connection with the offering of 11,243,511 shares of Common Stock of the Company, par value $0.0001 per share (the “</w:t>
      </w:r>
      <w:r>
        <w:rPr>
          <w:rFonts w:ascii="Times New Roman" w:hAnsi="Times New Roman"/>
          <w:b/>
          <w:i/>
          <w:color w:val="000000"/>
          <w:sz w:val="20"/>
        </w:rPr>
        <w:t>Shares</w:t>
      </w:r>
      <w:r>
        <w:rPr>
          <w:rFonts w:ascii="Times New Roman" w:hAnsi="Times New Roman"/>
          <w:color w:val="000000"/>
          <w:sz w:val="20"/>
        </w:rPr>
        <w:t>”), common warrants to purchase 16,123,189 shares of Common Stock (the “</w:t>
      </w:r>
      <w:r>
        <w:rPr>
          <w:rFonts w:ascii="Times New Roman" w:hAnsi="Times New Roman"/>
          <w:b/>
          <w:i/>
          <w:color w:val="000000"/>
          <w:sz w:val="20"/>
        </w:rPr>
        <w:t>Common Warrants</w:t>
      </w:r>
      <w:r>
        <w:rPr>
          <w:rFonts w:ascii="Times New Roman" w:hAnsi="Times New Roman"/>
          <w:color w:val="000000"/>
          <w:sz w:val="20"/>
        </w:rPr>
        <w:t>”), pre-funded warrants to purchase 5,241,997 shares of Common Stock (the “</w:t>
      </w:r>
      <w:r>
        <w:rPr>
          <w:rFonts w:ascii="Times New Roman" w:hAnsi="Times New Roman"/>
          <w:b/>
          <w:i/>
          <w:color w:val="000000"/>
          <w:sz w:val="20"/>
        </w:rPr>
        <w:t>Pre-Funded Warrants</w:t>
      </w:r>
      <w:r>
        <w:rPr>
          <w:rFonts w:ascii="Times New Roman" w:hAnsi="Times New Roman"/>
          <w:color w:val="000000"/>
          <w:sz w:val="20"/>
        </w:rPr>
        <w:t>”), and placement agent warrants to purchase up to 494,565 shares of Common Stock (the “</w:t>
      </w:r>
      <w:r>
        <w:rPr>
          <w:rFonts w:ascii="Times New Roman" w:hAnsi="Times New Roman"/>
          <w:b/>
          <w:i/>
          <w:color w:val="000000"/>
          <w:sz w:val="20"/>
        </w:rPr>
        <w:t>Placement Agent Warrants</w:t>
      </w:r>
      <w:r>
        <w:rPr>
          <w:rFonts w:ascii="Times New Roman" w:hAnsi="Times New Roman"/>
          <w:color w:val="000000"/>
          <w:sz w:val="20"/>
        </w:rPr>
        <w:t>” and, together with the Common Warrants and the Pre-Funded Warrants, the “</w:t>
      </w:r>
      <w:r>
        <w:rPr>
          <w:rFonts w:ascii="Times New Roman" w:hAnsi="Times New Roman"/>
          <w:b/>
          <w:i/>
          <w:color w:val="000000"/>
          <w:sz w:val="20"/>
        </w:rPr>
        <w:t>Warrants</w:t>
      </w:r>
      <w:r>
        <w:rPr>
          <w:rFonts w:ascii="Times New Roman" w:hAnsi="Times New Roman"/>
          <w:color w:val="000000"/>
          <w:sz w:val="20"/>
        </w:rPr>
        <w:t>”). The offering of the Shares and the Warrants was made under a registration statement on Form S-3 under the Securities Act of 1933, as amended (the “</w:t>
      </w:r>
      <w:r>
        <w:rPr>
          <w:rFonts w:ascii="Times New Roman" w:hAnsi="Times New Roman"/>
          <w:b/>
          <w:i/>
          <w:color w:val="000000"/>
          <w:sz w:val="20"/>
        </w:rPr>
        <w:t>Act</w:t>
      </w:r>
      <w:r>
        <w:rPr>
          <w:rFonts w:ascii="Times New Roman" w:hAnsi="Times New Roman"/>
          <w:color w:val="000000"/>
          <w:sz w:val="20"/>
        </w:rPr>
        <w:t>”), filed with the Securities and Exchange Commission (the “</w:t>
      </w:r>
      <w:r>
        <w:rPr>
          <w:rFonts w:ascii="Times New Roman" w:hAnsi="Times New Roman"/>
          <w:b/>
          <w:i/>
          <w:color w:val="000000"/>
          <w:sz w:val="20"/>
        </w:rPr>
        <w:t>Commission</w:t>
      </w:r>
      <w:r>
        <w:rPr>
          <w:rFonts w:ascii="Times New Roman" w:hAnsi="Times New Roman"/>
          <w:color w:val="000000"/>
          <w:sz w:val="20"/>
        </w:rPr>
        <w:t>”) on August 4, 2026 (Registration No. 333-297978) (as amended, the “</w:t>
      </w:r>
      <w:r>
        <w:rPr>
          <w:rFonts w:ascii="Times New Roman" w:hAnsi="Times New Roman"/>
          <w:b/>
          <w:i/>
          <w:color w:val="000000"/>
          <w:sz w:val="20"/>
        </w:rPr>
        <w:t>Registration Statement</w:t>
      </w:r>
      <w:r>
        <w:rPr>
          <w:rFonts w:ascii="Times New Roman" w:hAnsi="Times New Roman"/>
          <w:color w:val="000000"/>
          <w:sz w:val="20"/>
        </w:rPr>
        <w:t>”) and pursuant to a base prospectus dated August 18, 2026 (the “</w:t>
      </w:r>
      <w:r>
        <w:rPr>
          <w:rFonts w:ascii="Times New Roman" w:hAnsi="Times New Roman"/>
          <w:b/>
          <w:i/>
          <w:color w:val="000000"/>
          <w:sz w:val="20"/>
        </w:rPr>
        <w:t>Base Prospectus</w:t>
      </w:r>
      <w:r>
        <w:rPr>
          <w:rFonts w:ascii="Times New Roman" w:hAnsi="Times New Roman"/>
          <w:color w:val="000000"/>
          <w:sz w:val="20"/>
        </w:rPr>
        <w:t>”) and a prospectus supplement relating to the registered direct offering, dated October 5, 2026 filed with the Commission pursuant to Rule 424(b) under the Act (together with the Base Prospectus, the “</w:t>
      </w:r>
      <w:r>
        <w:rPr>
          <w:rFonts w:ascii="Times New Roman" w:hAnsi="Times New Roman"/>
          <w:b/>
          <w:i/>
          <w:color w:val="000000"/>
          <w:sz w:val="20"/>
        </w:rPr>
        <w:t>Prospectus</w:t>
      </w:r>
      <w:r>
        <w:rPr>
          <w:rFonts w:ascii="Times New Roman" w:hAnsi="Times New Roman"/>
          <w:color w:val="000000"/>
          <w:sz w:val="20"/>
        </w:rPr>
        <w:t>”). The Shares, the Common Warrants and the Pre-Funded Warrants are being sold pursuant to a securities purchase agreement, dated October 5, 2026 (the “</w:t>
      </w:r>
      <w:r>
        <w:rPr>
          <w:rFonts w:ascii="Times New Roman" w:hAnsi="Times New Roman"/>
          <w:b/>
          <w:i/>
          <w:color w:val="000000"/>
          <w:sz w:val="20"/>
        </w:rPr>
        <w:t>Securities Purchase Agreement</w:t>
      </w:r>
      <w:r>
        <w:rPr>
          <w:rFonts w:ascii="Times New Roman" w:hAnsi="Times New Roman"/>
          <w:color w:val="000000"/>
          <w:sz w:val="20"/>
        </w:rPr>
        <w:t>”), between the Company and the purchasers named therein, and the Placement Agent Warrants are being issued pursuant to an engagement letter, dated October 5, 2026 (the “</w:t>
      </w:r>
      <w:r>
        <w:rPr>
          <w:rFonts w:ascii="Times New Roman" w:hAnsi="Times New Roman"/>
          <w:b/>
          <w:i/>
          <w:color w:val="000000"/>
          <w:sz w:val="20"/>
        </w:rPr>
        <w:t>Engagement Letter</w:t>
      </w:r>
      <w:r>
        <w:rPr>
          <w:rFonts w:ascii="Times New Roman" w:hAnsi="Times New Roman"/>
          <w:color w:val="000000"/>
          <w:sz w:val="20"/>
        </w:rPr>
        <w:t>”), between the Company and Rodman &amp; Renshaw LLC (the “</w:t>
      </w:r>
      <w:r>
        <w:rPr>
          <w:rFonts w:ascii="Times New Roman" w:hAnsi="Times New Roman"/>
          <w:b/>
          <w:i/>
          <w:color w:val="000000"/>
          <w:sz w:val="20"/>
        </w:rPr>
        <w:t>Placement Agent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issuance of the Shares, the Warrants and the Warrant Shares (as defined below).</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2415" w:type="dxa"/>
        <w:jc w:val="left"/>
        <w:tblInd w:w="0" w:type="dxa"/>
        <w:tblLayout w:type="fixed"/>
        <w:tblCellMar>
          <w:top w:w="0" w:type="dxa"/>
          <w:left w:w="0" w:type="dxa"/>
          <w:bottom w:w="0" w:type="dxa"/>
          <w:right w:w="0" w:type="dxa"/>
        </w:tblCellMar>
      </w:tblPr>
      <w:tblGrid>
        <w:gridCol w:w="2415"/>
      </w:tblGrid>
      <w:tr>
        <w:trPr/>
        <w:tc>
          <w:tcPr>
            <w:tcW w:w="24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October 6, 2026</w:t>
            </w:r>
          </w:p>
          <w:p>
            <w:pPr>
              <w:pStyle w:val="TableContents"/>
              <w:bidi w:val="0"/>
              <w:spacing w:before="0" w:after="0"/>
              <w:jc w:val="left"/>
              <w:rPr>
                <w:rFonts w:ascii="Times New Roman" w:hAnsi="Times New Roman"/>
                <w:b/>
                <w:sz w:val="20"/>
              </w:rPr>
            </w:pPr>
            <w:r>
              <w:rPr>
                <w:rFonts w:ascii="Times New Roman" w:hAnsi="Times New Roman"/>
                <w:b/>
                <w:sz w:val="20"/>
              </w:rPr>
              <w:t>Page 2</w:t>
            </w:r>
          </w:p>
        </w:tc>
      </w:tr>
      <w:tr>
        <w:trPr/>
        <w:tc>
          <w:tcPr>
            <w:tcW w:w="2415" w:type="dxa"/>
            <w:tcBorders/>
            <w:vAlign w:val="center"/>
          </w:tcPr>
          <w:p>
            <w:pPr>
              <w:pStyle w:val="TableContents"/>
              <w:bidi w:val="0"/>
              <w:spacing w:before="0" w:after="0"/>
              <w:jc w:val="left"/>
              <w:rPr/>
            </w:pPr>
            <w:r>
              <w:rPr/>
              <w:t> </w:t>
            </w:r>
          </w:p>
        </w:tc>
      </w:tr>
      <w:tr>
        <w:trPr/>
        <w:tc>
          <w:tcPr>
            <w:tcW w:w="2415" w:type="dxa"/>
            <w:tcBorders/>
            <w:vAlign w:val="center"/>
          </w:tcPr>
          <w:p>
            <w:pPr>
              <w:pStyle w:val="TableContents"/>
              <w:bidi w:val="0"/>
              <w:spacing w:before="0" w:after="0"/>
              <w:jc w:val="left"/>
              <w:rPr/>
            </w:pPr>
            <w:r>
              <w:rPr/>
              <w:drawing>
                <wp:inline distT="0" distB="0" distL="0" distR="0">
                  <wp:extent cx="1533525"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33525" cy="104775"/>
                          </a:xfrm>
                          <a:prstGeom prst="rect">
                            <a:avLst/>
                          </a:prstGeom>
                        </pic:spPr>
                      </pic:pic>
                    </a:graphicData>
                  </a:graphic>
                </wp:inline>
              </w:drawing>
            </w:r>
          </w:p>
        </w:tc>
      </w:tr>
    </w:tbl>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color w:val="000000"/>
          <w:sz w:val="20"/>
        </w:rPr>
        <w:t>DGCL</w:t>
      </w:r>
      <w:r>
        <w:rPr>
          <w:rFonts w:ascii="Times New Roman" w:hAnsi="Times New Roman"/>
          <w:color w:val="000000"/>
          <w:sz w:val="20"/>
        </w:rPr>
        <w:t>”) and, with respect to our opinion in paragraph 2 hereof as to the enforceability of the Warrants, the laws of the State of New York, and we express no opinion with respect to any other laws.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Subject to the foregoing and the other matters set forth herein, it is our opinion that, as of the date hereof:</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4" w:name="z45490b5b822c4c8481102b13a238cc82"/>
      <w:bookmarkStart w:id="165" w:name="z45490b5b822c4c8481102b13a238cc82"/>
      <w:bookmarkEnd w:id="165"/>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pPr>
            <w:r>
              <w:rPr/>
            </w:r>
          </w:p>
        </w:tc>
        <w:tc>
          <w:tcPr>
            <w:tcW w:w="1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When the Shares shall have been duly registered on the books of the transfer agent and registrar therefor in the name or on behalf of the purchasers, and have been issued by the Company against payment therefor (not less than par value) in the circumstances contemplated by the Securities Purchase Agreement, the issuance and sale of the Shares will have been duly authorized by all necessary corporate action of the Company, and the Shares will be validly issued, fully paid and non-assessable.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6" w:name="zb13f0f49ea9d45999571fecb06cb1474"/>
      <w:bookmarkStart w:id="167" w:name="zb13f0f49ea9d45999571fecb06cb1474"/>
      <w:bookmarkEnd w:id="167"/>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pPr>
            <w:r>
              <w:rPr/>
            </w:r>
          </w:p>
        </w:tc>
        <w:tc>
          <w:tcPr>
            <w:tcW w:w="1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When the Warrants have been duly issued by the Company against payment therefor in the circumstances contemplated by the Securities Purchase Agreement and the Engagement Agreement, as applicable, the issue and sale of the Warrants will have been duly authorized by all necessary corporate action of the Company, and the Warrants will be legally valid and binding obligations of the Company, enforceable against the Company in accordance with their terms.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8" w:name="z5ef588709be9448498b61f94d2a46d3d"/>
      <w:bookmarkStart w:id="169" w:name="z5ef588709be9448498b61f94d2a46d3d"/>
      <w:bookmarkEnd w:id="169"/>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pPr>
            <w:r>
              <w:rPr/>
            </w:r>
          </w:p>
        </w:tc>
        <w:tc>
          <w:tcPr>
            <w:tcW w:w="13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When the shares of Common Stock initially issuable upon exercise of the Warrants (the “</w:t>
            </w:r>
            <w:r>
              <w:rPr>
                <w:rFonts w:ascii="Times New Roman" w:hAnsi="Times New Roman"/>
                <w:b/>
                <w:i/>
                <w:sz w:val="20"/>
              </w:rPr>
              <w:t>Warrant Shares</w:t>
            </w:r>
            <w:r>
              <w:rPr>
                <w:rFonts w:ascii="Times New Roman" w:hAnsi="Times New Roman"/>
                <w:sz w:val="20"/>
              </w:rPr>
              <w:t>”) shall have been duly registered on the books of the transfer agent and registrar therefor in the name or on behalf of the applicable Warrant holder, and have been issued by the Company against payment therefor (not less than par value) in the circumstances contemplated by the applicable Warrants, the issue of the Warrant Shares will have been duly authorized by all necessary corporate action of the Company and the Warrant Shares will be validly issued, fully paid and non-assessable.</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rendering the foregoing opinions, we have assumed that (i) the Company will comply with all applicable notice requirements regarding uncertificated shares provided in the DGCL and (ii) upon the issue of any of the Warrant Shares, the total number of shares of Common Stock issued and outstanding will not exceed the total number of shares of Common Stock that the Company is then authorized to issue under its Certificate of Incorporation and by the Board of Directors of the Company in connection with the offering contemplated by the Registration Statement and the Prospectus.</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2415" w:type="dxa"/>
        <w:jc w:val="left"/>
        <w:tblInd w:w="0" w:type="dxa"/>
        <w:tblLayout w:type="fixed"/>
        <w:tblCellMar>
          <w:top w:w="0" w:type="dxa"/>
          <w:left w:w="0" w:type="dxa"/>
          <w:bottom w:w="0" w:type="dxa"/>
          <w:right w:w="0" w:type="dxa"/>
        </w:tblCellMar>
      </w:tblPr>
      <w:tblGrid>
        <w:gridCol w:w="2415"/>
      </w:tblGrid>
      <w:tr>
        <w:trPr/>
        <w:tc>
          <w:tcPr>
            <w:tcW w:w="24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October 6, 2026</w:t>
            </w:r>
          </w:p>
          <w:p>
            <w:pPr>
              <w:pStyle w:val="TableContents"/>
              <w:bidi w:val="0"/>
              <w:spacing w:before="0" w:after="0"/>
              <w:jc w:val="left"/>
              <w:rPr>
                <w:rFonts w:ascii="Times New Roman" w:hAnsi="Times New Roman"/>
                <w:b/>
                <w:sz w:val="20"/>
              </w:rPr>
            </w:pPr>
            <w:r>
              <w:rPr>
                <w:rFonts w:ascii="Times New Roman" w:hAnsi="Times New Roman"/>
                <w:b/>
                <w:sz w:val="20"/>
              </w:rPr>
              <w:t>Page 3</w:t>
            </w:r>
          </w:p>
        </w:tc>
      </w:tr>
      <w:tr>
        <w:trPr/>
        <w:tc>
          <w:tcPr>
            <w:tcW w:w="2415" w:type="dxa"/>
            <w:tcBorders/>
            <w:vAlign w:val="center"/>
          </w:tcPr>
          <w:p>
            <w:pPr>
              <w:pStyle w:val="TableContents"/>
              <w:bidi w:val="0"/>
              <w:spacing w:before="0" w:after="0"/>
              <w:jc w:val="left"/>
              <w:rPr/>
            </w:pPr>
            <w:r>
              <w:rPr/>
              <w:t> </w:t>
            </w:r>
          </w:p>
        </w:tc>
      </w:tr>
      <w:tr>
        <w:trPr/>
        <w:tc>
          <w:tcPr>
            <w:tcW w:w="2415" w:type="dxa"/>
            <w:tcBorders/>
            <w:vAlign w:val="center"/>
          </w:tcPr>
          <w:p>
            <w:pPr>
              <w:pStyle w:val="TableContents"/>
              <w:bidi w:val="0"/>
              <w:spacing w:before="0" w:after="0"/>
              <w:jc w:val="left"/>
              <w:rPr/>
            </w:pPr>
            <w:r>
              <w:rPr/>
              <w:drawing>
                <wp:inline distT="0" distB="0" distL="0" distR="0">
                  <wp:extent cx="1533525" cy="104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33525" cy="104775"/>
                          </a:xfrm>
                          <a:prstGeom prst="rect">
                            <a:avLst/>
                          </a:prstGeom>
                        </pic:spPr>
                      </pic:pic>
                    </a:graphicData>
                  </a:graphic>
                </wp:inline>
              </w:drawing>
            </w:r>
          </w:p>
        </w:tc>
      </w:tr>
    </w:tbl>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With your consent, we have assumed that the status of the Warrants as legally valid and binding obligations of the Company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October 6,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before="0" w:after="0"/>
        <w:jc w:val="left"/>
        <w:rPr>
          <w:color w:val="000000"/>
        </w:rPr>
      </w:pPr>
      <w:r>
        <w:rPr>
          <w:color w:val="000000"/>
        </w:rPr>
        <w:t xml:space="preserve">  </w:t>
      </w:r>
      <w:bookmarkStart w:id="170" w:name="z1a4dcafc56964b3fa9cc6eadf4eca29e"/>
      <w:bookmarkEnd w:id="170"/>
    </w:p>
    <w:tbl>
      <w:tblPr>
        <w:tblW w:w="2203" w:type="dxa"/>
        <w:jc w:val="left"/>
        <w:tblInd w:w="0" w:type="dxa"/>
        <w:tblLayout w:type="fixed"/>
        <w:tblCellMar>
          <w:top w:w="0" w:type="dxa"/>
          <w:left w:w="0" w:type="dxa"/>
          <w:bottom w:w="0" w:type="dxa"/>
          <w:right w:w="0" w:type="dxa"/>
        </w:tblCellMar>
      </w:tblPr>
      <w:tblGrid>
        <w:gridCol w:w="23"/>
        <w:gridCol w:w="2180"/>
      </w:tblGrid>
      <w:tr>
        <w:trPr/>
        <w:tc>
          <w:tcPr>
            <w:tcW w:w="23" w:type="dxa"/>
            <w:tcBorders/>
            <w:vAlign w:val="center"/>
          </w:tcPr>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20"/>
              </w:rPr>
            </w:pPr>
            <w:r>
              <w:rPr>
                <w:sz w:val="20"/>
              </w:rPr>
              <w:t>Sincerely,</w:t>
            </w:r>
          </w:p>
        </w:tc>
      </w:tr>
      <w:tr>
        <w:trPr/>
        <w:tc>
          <w:tcPr>
            <w:tcW w:w="23" w:type="dxa"/>
            <w:tcBorders/>
            <w:vAlign w:val="center"/>
          </w:tcPr>
          <w:p>
            <w:pPr>
              <w:pStyle w:val="TableContents"/>
              <w:bidi w:val="0"/>
              <w:spacing w:before="0" w:after="283"/>
              <w:jc w:val="left"/>
              <w:rPr/>
            </w:pPr>
            <w:r>
              <w:rPr/>
            </w:r>
          </w:p>
        </w:tc>
        <w:tc>
          <w:tcPr>
            <w:tcW w:w="2180"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20"/>
              </w:rPr>
            </w:pPr>
            <w:r>
              <w:rPr>
                <w:sz w:val="20"/>
              </w:rPr>
              <w:t>/s/ Latham &amp; Watkins LLP</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71" w:name="ef20083313_ex10-1.htm"/>
      <w:bookmarkStart w:id="172" w:name="ksef20083313_ex101"/>
      <w:bookmarkStart w:id="173" w:name="ef20083313_ex10-1.htm"/>
      <w:bookmarkStart w:id="174" w:name="ksef20083313_ex101"/>
      <w:bookmarkEnd w:id="173"/>
      <w:bookmarkEnd w:id="174"/>
      <w:r>
        <w:br w:type="page"/>
      </w:r>
    </w:p>
    <w:p>
      <w:pPr>
        <w:pStyle w:val="TextBody"/>
        <w:bidi w:val="0"/>
        <w:spacing w:before="0" w:after="0"/>
        <w:ind w:left="720" w:right="0" w:hanging="720"/>
        <w:jc w:val="right"/>
        <w:rPr>
          <w:rFonts w:ascii="Times New Roman;Times;serif" w:hAnsi="Times New Roman;Times;serif"/>
          <w:b/>
          <w:color w:val="000000"/>
          <w:sz w:val="20"/>
        </w:rPr>
      </w:pPr>
      <w:r>
        <w:rPr>
          <w:rFonts w:ascii="Times New Roman;Times;serif" w:hAnsi="Times New Roman;Times;serif"/>
          <w:b/>
          <w:color w:val="000000"/>
          <w:sz w:val="20"/>
        </w:rPr>
        <w:t>Exhibit 10.1</w:t>
      </w:r>
    </w:p>
    <w:p>
      <w:pPr>
        <w:pStyle w:val="TextBody"/>
        <w:bidi w:val="0"/>
        <w:spacing w:before="0" w:after="0"/>
        <w:jc w:val="left"/>
        <w:rPr/>
      </w:pPr>
      <w:r>
        <w:rPr/>
      </w:r>
    </w:p>
    <w:p>
      <w:pPr>
        <w:pStyle w:val="TextBody"/>
        <w:bidi w:val="0"/>
        <w:spacing w:before="0" w:after="0"/>
        <w:ind w:left="720" w:right="0" w:hanging="720"/>
        <w:jc w:val="center"/>
        <w:rPr>
          <w:rFonts w:ascii="Times New Roman;Times;serif" w:hAnsi="Times New Roman;Times;serif"/>
          <w:b/>
          <w:color w:val="000000"/>
          <w:sz w:val="20"/>
        </w:rPr>
      </w:pPr>
      <w:r>
        <w:rPr>
          <w:rFonts w:ascii="Times New Roman;Times;serif" w:hAnsi="Times New Roman;Times;serif"/>
          <w:b/>
          <w:color w:val="000000"/>
          <w:sz w:val="20"/>
        </w:rPr>
        <w:t>SECURITIES PURCHASE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Securities Purchase Agreement (this “</w:t>
      </w:r>
      <w:r>
        <w:rPr>
          <w:rFonts w:ascii="Times New Roman;Times;serif" w:hAnsi="Times New Roman;Times;serif"/>
          <w:color w:val="000000"/>
          <w:sz w:val="20"/>
          <w:u w:val="single"/>
        </w:rPr>
        <w:t>Agreement</w:t>
      </w:r>
      <w:r>
        <w:rPr>
          <w:rFonts w:ascii="Times New Roman;Times;serif" w:hAnsi="Times New Roman;Times;serif"/>
          <w:color w:val="000000"/>
          <w:sz w:val="20"/>
        </w:rPr>
        <w:t>”) is dated as of [ ● ], 2026, between Neighborhood Intelligence,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and each purchaser identified on the signature pages hereto (each, including its successors and assigns, a “</w:t>
      </w:r>
      <w:r>
        <w:rPr>
          <w:rFonts w:ascii="Times New Roman;Times;serif" w:hAnsi="Times New Roman;Times;serif"/>
          <w:color w:val="000000"/>
          <w:sz w:val="20"/>
          <w:u w:val="single"/>
        </w:rPr>
        <w:t>Purchaser</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Purchasers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DEFINITIONS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1.1         </w:t>
      </w:r>
      <w:r>
        <w:rPr>
          <w:rFonts w:ascii="Times New Roman;Times;serif" w:hAnsi="Times New Roman;Times;serif"/>
          <w:color w:val="000000"/>
          <w:sz w:val="20"/>
          <w:u w:val="single"/>
        </w:rPr>
        <w:t>Definitions</w:t>
      </w:r>
      <w:r>
        <w:rPr>
          <w:rFonts w:ascii="Times New Roman;Times;serif" w:hAnsi="Times New Roman;Times;serif"/>
          <w:color w:val="000000"/>
          <w:sz w:val="20"/>
        </w:rPr>
        <w:t>.  In addition to the terms defined elsewhere in this Agreement, for all purposes of this Agreement, the following terms have the meanings set forth in this Section 1.1:</w:t>
      </w:r>
    </w:p>
    <w:p>
      <w:pPr>
        <w:pStyle w:val="TextBody"/>
        <w:bidi w:val="0"/>
        <w:spacing w:before="0" w:after="0"/>
        <w:jc w:val="left"/>
        <w:rPr/>
      </w:pPr>
      <w:r>
        <w:rPr/>
      </w:r>
    </w:p>
    <w:p>
      <w:pPr>
        <w:pStyle w:val="TextBody"/>
        <w:bidi w:val="0"/>
        <w:spacing w:before="0" w:after="0"/>
        <w:ind w:left="0" w:right="0" w:firstLine="1440"/>
        <w:jc w:val="both"/>
        <w:rPr>
          <w:color w:val="000000"/>
        </w:rPr>
      </w:pPr>
      <w:r>
        <w:rPr>
          <w:color w:val="000000"/>
        </w:rPr>
        <w:t>“</w:t>
      </w:r>
      <w:r>
        <w:rPr>
          <w:rFonts w:ascii="Times New Roman;Times;serif" w:hAnsi="Times New Roman;Times;serif"/>
          <w:color w:val="000000"/>
          <w:sz w:val="20"/>
          <w:u w:val="single"/>
        </w:rPr>
        <w:t>Acquiring Person</w:t>
      </w:r>
      <w:r>
        <w:rPr>
          <w:rFonts w:ascii="Times New Roman;Times;serif" w:hAnsi="Times New Roman;Times;serif"/>
          <w:color w:val="000000"/>
          <w:sz w:val="20"/>
        </w:rPr>
        <w:t>” shall have the meaning ascribed to such term in Section 4.5.</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Action</w:t>
      </w:r>
      <w:r>
        <w:rPr>
          <w:rFonts w:ascii="Times New Roman;Times;serif" w:hAnsi="Times New Roman;Times;serif"/>
          <w:color w:val="000000"/>
          <w:sz w:val="20"/>
        </w:rPr>
        <w:t>” shall have the meaning ascribed to such term in Section 3.1(j).</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Board of Directors</w:t>
      </w:r>
      <w:r>
        <w:rPr>
          <w:rFonts w:ascii="Times New Roman;Times;serif" w:hAnsi="Times New Roman;Times;serif"/>
          <w:color w:val="000000"/>
          <w:sz w:val="20"/>
        </w:rPr>
        <w:t>” means the board of directors of the Company.</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means any day other than Saturday, Sunday or other day on which commercial banks in The City of New York are authorized or required by law to remain closed.</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Closing</w:t>
      </w:r>
      <w:r>
        <w:rPr>
          <w:rFonts w:ascii="Times New Roman;Times;serif" w:hAnsi="Times New Roman;Times;serif"/>
          <w:color w:val="000000"/>
          <w:sz w:val="20"/>
        </w:rPr>
        <w:t>” means the closing of the purchase and sale of the Purchased Securities pursuant to Section 2.1.</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Closing Date</w:t>
      </w:r>
      <w:r>
        <w:rPr>
          <w:rFonts w:ascii="Times New Roman;Times;serif" w:hAnsi="Times New Roman;Times;serif"/>
          <w:color w:val="000000"/>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Purchased Securities, in each case, have been satisfied or waived, but in no event later than the first (1st) Trading Day following the date hereof (or the second (2nd) Trading Day following the date hereof if this Agreement is signed on a day that is not a Trading Day or after 4:00 p.m. (New York City time) and before midnight (New York City time) on a Trading Day).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Commission</w:t>
      </w:r>
      <w:r>
        <w:rPr>
          <w:rFonts w:ascii="Times New Roman;Times;serif" w:hAnsi="Times New Roman;Times;serif"/>
          <w:color w:val="000000"/>
          <w:sz w:val="20"/>
        </w:rPr>
        <w:t>” means the United States Securities and Exchange Commission.</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Common Stock</w:t>
      </w:r>
      <w:r>
        <w:rPr>
          <w:rFonts w:ascii="Times New Roman;Times;serif" w:hAnsi="Times New Roman;Times;serif"/>
          <w:color w:val="000000"/>
          <w:sz w:val="20"/>
        </w:rPr>
        <w:t>” means the common stock of the Company, par value $0.0001 per share, and any other class of securities into which such securities may hereafter be reclassified or changed.</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Common Stock Equivalents</w:t>
      </w:r>
      <w:r>
        <w:rPr>
          <w:rFonts w:ascii="Times New Roman;Times;serif" w:hAnsi="Times New Roman;Times;serif"/>
          <w:color w:val="000000"/>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Common Warrants</w:t>
      </w:r>
      <w:r>
        <w:rPr>
          <w:rFonts w:ascii="Times New Roman;Times;serif" w:hAnsi="Times New Roman;Times;serif"/>
          <w:color w:val="000000"/>
          <w:sz w:val="20"/>
        </w:rPr>
        <w:t xml:space="preserve">” means the Common Stock purchase warrants delivered to the Purchasers at the Closing in accordance with Section 2.2(a) hereof, which Warrants shall be exercisable beginning on the six (6) month anniversary of the date of issuance and have a term of exercise equal to five (5) years, in the form of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attached hereto.</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Common Warrant Shares</w:t>
      </w:r>
      <w:r>
        <w:rPr>
          <w:rFonts w:ascii="Times New Roman;Times;serif" w:hAnsi="Times New Roman;Times;serif"/>
          <w:color w:val="000000"/>
          <w:sz w:val="20"/>
        </w:rPr>
        <w:t>” means the shares of Common Stock issuable upon exercise of the Common Warrants.</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Company Counsel</w:t>
      </w:r>
      <w:r>
        <w:rPr>
          <w:rFonts w:ascii="Times New Roman;Times;serif" w:hAnsi="Times New Roman;Times;serif"/>
          <w:color w:val="000000"/>
          <w:sz w:val="20"/>
        </w:rPr>
        <w:t>” means Latham &amp; Watkins LLP, with offices located at 1271 Avenue of the Americas, New York, NY 10020.</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Disclosure Time</w:t>
      </w:r>
      <w:r>
        <w:rPr>
          <w:rFonts w:ascii="Times New Roman;Times;serif" w:hAnsi="Times New Roman;Times;serif"/>
          <w:color w:val="000000"/>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(provided such earlier time is later than 4:00 p.m. (New York City time)),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Evaluation Date</w:t>
      </w:r>
      <w:r>
        <w:rPr>
          <w:rFonts w:ascii="Times New Roman;Times;serif" w:hAnsi="Times New Roman;Times;serif"/>
          <w:color w:val="000000"/>
          <w:sz w:val="20"/>
        </w:rPr>
        <w:t>” shall have the meaning ascribed to such term in Section 3.1(r).</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means the Securities Exchange Act of 1934, as amended, and the rules and regulations promulgated thereunder.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720" w:right="0" w:firstLine="720"/>
        <w:jc w:val="both"/>
        <w:rPr>
          <w:color w:val="000000"/>
        </w:rPr>
      </w:pPr>
      <w:r>
        <w:rPr>
          <w:color w:val="000000"/>
        </w:rPr>
        <w:t>“</w:t>
      </w:r>
      <w:r>
        <w:rPr>
          <w:rFonts w:ascii="Times New Roman;Times;serif" w:hAnsi="Times New Roman;Times;serif"/>
          <w:color w:val="000000"/>
          <w:sz w:val="20"/>
          <w:u w:val="single"/>
        </w:rPr>
        <w:t>Exempt Issuance</w:t>
      </w:r>
      <w:r>
        <w:rPr>
          <w:rFonts w:ascii="Times New Roman;Times;serif" w:hAnsi="Times New Roman;Times;serif"/>
          <w:color w:val="000000"/>
          <w:sz w:val="20"/>
        </w:rPr>
        <w:t>” means the issuance of (a) Common Stock, options, restricted stock awards, restricted stock units or other equity awards to employees, officers, consultants or directors of the Company pursuant to any equity compensation plan adopted by a majority of the non-employee members of the Board of Directors or the majority of the members of a committee of non-employee directors for services rendered to the Company; provided, however, that any securities issued to consultants under this clause (a) are issued as “restricted securities” (as defined in Rule 144) and carry no registration rights that require or permit the filing of any registration statement in connection therewith prior to thirty (30) days after the Closing Date, (b) warrants to the Placement Agent in connection with the transactions pursuant to this Agreement and any securities upon exercise of the warrants to the Placement Agent, if applicable, (c) securities issued upon the exercise or exchange of or conversion of any Securities issued hereunder and/or other securities exercisable or exchangeable for or convertible into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(d) securities issued pursuant to mergers, acquisitions or other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prior to thirty (30) days after the Closing Date,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(e) securities issued pursuant to that certain Capital on DemandTM Sales Agreement, dated as of June 10, 202, by and between the Company and JonesTrading Institutional Services LLC (“</w:t>
      </w:r>
      <w:r>
        <w:rPr>
          <w:rFonts w:ascii="Times New Roman;Times;serif" w:hAnsi="Times New Roman;Times;serif"/>
          <w:color w:val="000000"/>
          <w:sz w:val="20"/>
          <w:u w:val="single"/>
        </w:rPr>
        <w:t>JonesTrading</w:t>
      </w:r>
      <w:r>
        <w:rPr>
          <w:rFonts w:ascii="Times New Roman;Times;serif" w:hAnsi="Times New Roman;Times;serif"/>
          <w:color w:val="000000"/>
          <w:sz w:val="20"/>
        </w:rPr>
        <w:t>”), and that certain Capital on DemandTM Sales Agreement, dated as of August 4, 2026, by and between the Company and JonesTrading; provided that, in each case, any securities issued thereunder are issued (i) at a price not lower than the Per Share Purchase Price, or (ii) not earlier than thirty (30) days after the Closing Date, (f) securities issued to that certain consulting agreement, as in effect on the date hereof, between the Company and Glia Intelligence Inc., and (g) securities issued pursuant to that certain stock purchase agreement, dated as of the date hereof, between the Company and Marcus Lemonis.</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FCPA</w:t>
      </w:r>
      <w:r>
        <w:rPr>
          <w:rFonts w:ascii="Times New Roman;Times;serif" w:hAnsi="Times New Roman;Times;serif"/>
          <w:color w:val="000000"/>
          <w:sz w:val="20"/>
        </w:rPr>
        <w:t>” means the Foreign Corrupt Practices Act of 1977, as amended.</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GAAP</w:t>
      </w:r>
      <w:r>
        <w:rPr>
          <w:rFonts w:ascii="Times New Roman;Times;serif" w:hAnsi="Times New Roman;Times;serif"/>
          <w:color w:val="000000"/>
          <w:sz w:val="20"/>
        </w:rPr>
        <w:t>” shall have the meaning ascribed to such term in Section 3.1(h).</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shall have the meaning ascribed to such term in Section 3.1(aa).</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Intellectual Property Rights</w:t>
      </w:r>
      <w:r>
        <w:rPr>
          <w:rFonts w:ascii="Times New Roman;Times;serif" w:hAnsi="Times New Roman;Times;serif"/>
          <w:color w:val="000000"/>
          <w:sz w:val="20"/>
        </w:rPr>
        <w:t>” shall have the meaning ascribed to such term in Section 3.1(p).</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Liens</w:t>
      </w:r>
      <w:r>
        <w:rPr>
          <w:rFonts w:ascii="Times New Roman;Times;serif" w:hAnsi="Times New Roman;Times;serif"/>
          <w:color w:val="000000"/>
          <w:sz w:val="20"/>
        </w:rPr>
        <w:t>” means a lien, charge, pledge, security interest, encumbrance, right of first refusal, preemptive right or other restriction.</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Lock-Up Agreement</w:t>
      </w:r>
      <w:r>
        <w:rPr>
          <w:rFonts w:ascii="Times New Roman;Times;serif" w:hAnsi="Times New Roman;Times;serif"/>
          <w:color w:val="000000"/>
          <w:sz w:val="20"/>
        </w:rPr>
        <w:t xml:space="preserve">” means, collectively, the Lock-Up Agreements, dated as of the date hereof, by and among the Company and each of the Company’s directors and executive officers, in the form of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attached hereto.</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Material Adverse Effect</w:t>
      </w:r>
      <w:r>
        <w:rPr>
          <w:rFonts w:ascii="Times New Roman;Times;serif" w:hAnsi="Times New Roman;Times;serif"/>
          <w:color w:val="000000"/>
          <w:sz w:val="20"/>
        </w:rPr>
        <w:t>” shall have the meaning assigned to such term in Section 3.1(b).</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Material Permits</w:t>
      </w:r>
      <w:r>
        <w:rPr>
          <w:rFonts w:ascii="Times New Roman;Times;serif" w:hAnsi="Times New Roman;Times;serif"/>
          <w:color w:val="000000"/>
          <w:sz w:val="20"/>
        </w:rPr>
        <w:t>” shall have the meaning assigned to such term in Section 3.1(m).</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Opt-Out Notice</w:t>
      </w:r>
      <w:r>
        <w:rPr>
          <w:rFonts w:ascii="Times New Roman;Times;serif" w:hAnsi="Times New Roman;Times;serif"/>
          <w:color w:val="000000"/>
          <w:sz w:val="20"/>
        </w:rPr>
        <w:t>” shall have the meaning ascribed to such term in Section 4.6.</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Per Share Purchase Price</w:t>
      </w:r>
      <w:r>
        <w:rPr>
          <w:rFonts w:ascii="Times New Roman;Times;serif" w:hAnsi="Times New Roman;Times;serif"/>
          <w:color w:val="000000"/>
          <w:sz w:val="20"/>
        </w:rPr>
        <w:t>” equals $2.76,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$0.001.</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Placement Agent</w:t>
      </w:r>
      <w:r>
        <w:rPr>
          <w:rFonts w:ascii="Times New Roman;Times;serif" w:hAnsi="Times New Roman;Times;serif"/>
          <w:color w:val="000000"/>
          <w:sz w:val="20"/>
        </w:rPr>
        <w:t>” means Rodman &amp; Renshaw LLC and its successors and permitted assigns.</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Prefunded Warrant</w:t>
      </w:r>
      <w:r>
        <w:rPr>
          <w:rFonts w:ascii="Times New Roman;Times;serif" w:hAnsi="Times New Roman;Times;serif"/>
          <w:color w:val="000000"/>
          <w:sz w:val="20"/>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Times;serif" w:hAnsi="Times New Roman;Times;serif"/>
          <w:color w:val="000000"/>
          <w:sz w:val="20"/>
          <w:u w:val="single"/>
        </w:rPr>
        <w:t>Exhibit B</w:t>
      </w:r>
      <w:r>
        <w:rPr>
          <w:rFonts w:ascii="Times New Roman;Times;serif" w:hAnsi="Times New Roman;Times;serif"/>
          <w:color w:val="000000"/>
          <w:sz w:val="20"/>
        </w:rPr>
        <w:t xml:space="preserve"> attached hereto.</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Prefunded Warrant Shares</w:t>
      </w:r>
      <w:r>
        <w:rPr>
          <w:rFonts w:ascii="Times New Roman;Times;serif" w:hAnsi="Times New Roman;Times;serif"/>
          <w:color w:val="000000"/>
          <w:sz w:val="20"/>
        </w:rPr>
        <w:t>” means the shares of Common Stock issuable upon exercise of the Prefunded Warrants.</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Proceeding</w:t>
      </w:r>
      <w:r>
        <w:rPr>
          <w:rFonts w:ascii="Times New Roman;Times;serif" w:hAnsi="Times New Roman;Times;serif"/>
          <w:color w:val="000000"/>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Prospectus</w:t>
      </w:r>
      <w:r>
        <w:rPr>
          <w:rFonts w:ascii="Times New Roman;Times;serif" w:hAnsi="Times New Roman;Times;serif"/>
          <w:color w:val="000000"/>
          <w:sz w:val="20"/>
        </w:rPr>
        <w:t>” means the final base prospectus filed for the Registration Statement, including all information, documents and exhibits filed with or incorporated by reference into such prospectus.</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Prospectus Supplement</w:t>
      </w:r>
      <w:r>
        <w:rPr>
          <w:rFonts w:ascii="Times New Roman;Times;serif" w:hAnsi="Times New Roman;Times;serif"/>
          <w:color w:val="000000"/>
          <w:sz w:val="20"/>
        </w:rPr>
        <w:t>” means the supplement to the Prospectus complying with Rule 424(b) of the Securities Act, including all information, documents and exhibits filed with or incorporated by reference into such prospectus supplement, that is filed with the Commission and delivered by the Company to each Purchaser at the Closing.</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Purchased Securities</w:t>
      </w:r>
      <w:r>
        <w:rPr>
          <w:rFonts w:ascii="Times New Roman;Times;serif" w:hAnsi="Times New Roman;Times;serif"/>
          <w:color w:val="000000"/>
          <w:sz w:val="20"/>
        </w:rPr>
        <w:t>” means, collectively, the Shares and Warrants.</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Purchaser Party</w:t>
      </w:r>
      <w:r>
        <w:rPr>
          <w:rFonts w:ascii="Times New Roman;Times;serif" w:hAnsi="Times New Roman;Times;serif"/>
          <w:color w:val="000000"/>
          <w:sz w:val="20"/>
        </w:rPr>
        <w:t>” shall have the meaning ascribed to such term in Section 4.8.</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means the effective registration statement on Form S-3 filed with the Commission (File No. 333-297978) which registers the sale of the Shares, the Warrants and the Warrant Shares to the Purchasers, and includes any Rule 462(b) Registration Statement.</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Required Approvals</w:t>
      </w:r>
      <w:r>
        <w:rPr>
          <w:rFonts w:ascii="Times New Roman;Times;serif" w:hAnsi="Times New Roman;Times;serif"/>
          <w:color w:val="000000"/>
          <w:sz w:val="20"/>
        </w:rPr>
        <w:t>” shall have the meaning ascribed to such term in Section 3.1(e).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Rule 144</w:t>
      </w:r>
      <w:r>
        <w:rPr>
          <w:rFonts w:ascii="Times New Roman;Times;serif" w:hAnsi="Times New Roman;Times;serif"/>
          <w:color w:val="000000"/>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Rule 424</w:t>
      </w:r>
      <w:r>
        <w:rPr>
          <w:rFonts w:ascii="Times New Roman;Times;serif" w:hAnsi="Times New Roman;Times;serif"/>
          <w:color w:val="000000"/>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Rule 462(b) Registration Statement</w:t>
      </w:r>
      <w:r>
        <w:rPr>
          <w:rFonts w:ascii="Times New Roman;Times;serif" w:hAnsi="Times New Roman;Times;serif"/>
          <w:color w:val="000000"/>
          <w:sz w:val="20"/>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SEC Reports</w:t>
      </w:r>
      <w:r>
        <w:rPr>
          <w:rFonts w:ascii="Times New Roman;Times;serif" w:hAnsi="Times New Roman;Times;serif"/>
          <w:color w:val="000000"/>
          <w:sz w:val="20"/>
        </w:rPr>
        <w:t>” shall have the meaning ascribed to such term in Section 3.1(h).</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Securities</w:t>
      </w:r>
      <w:r>
        <w:rPr>
          <w:rFonts w:ascii="Times New Roman;Times;serif" w:hAnsi="Times New Roman;Times;serif"/>
          <w:color w:val="000000"/>
          <w:sz w:val="20"/>
        </w:rPr>
        <w:t>” means the Shares, the Warrants and the Warrant Shares.</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means the Securities Act of 1933, as amended, and the rules and regulations promulgated thereunder.</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Shares</w:t>
      </w:r>
      <w:r>
        <w:rPr>
          <w:rFonts w:ascii="Times New Roman;Times;serif" w:hAnsi="Times New Roman;Times;serif"/>
          <w:color w:val="000000"/>
          <w:sz w:val="20"/>
        </w:rPr>
        <w:t>” means the shares of Common Stock issued or issuable to each Purchaser pursuant to this Agreement, but excluding the Warrant Shares.</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Short Sales</w:t>
      </w:r>
      <w:r>
        <w:rPr>
          <w:rFonts w:ascii="Times New Roman;Times;serif" w:hAnsi="Times New Roman;Times;serif"/>
          <w:color w:val="000000"/>
          <w:sz w:val="20"/>
        </w:rPr>
        <w:t>” means all “short sales” as defined in Rule 200 of Regulation SHO under the Exchange Act (but shall not be deemed to include locating and/or borrowing shares of Common Stock).</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Subscription Amount</w:t>
      </w:r>
      <w:r>
        <w:rPr>
          <w:rFonts w:ascii="Times New Roman;Times;serif" w:hAnsi="Times New Roman;Times;serif"/>
          <w:color w:val="000000"/>
          <w:sz w:val="20"/>
        </w:rPr>
        <w:t>” means, as to each Purchaser, the aggregate amount to be paid for the Shares, the Prefunded Warrants (if applicable) and the Common Warrants purchased hereunder as specified below such Purchaser’s name on the signature page of this Agreement and next to the heading “Subscription Amount,” in United States dollars and in immediately available funds (excluding for the avoidance of doubt, if applicable, a Purchaser’s aggregate exercise price of the Prefunded Warrants, which amounts shall be paid as and when such Prefunded Warrants are exercised for cash).</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Trading Day</w:t>
      </w:r>
      <w:r>
        <w:rPr>
          <w:rFonts w:ascii="Times New Roman;Times;serif" w:hAnsi="Times New Roman;Times;serif"/>
          <w:color w:val="000000"/>
          <w:sz w:val="20"/>
        </w:rPr>
        <w:t>” means a day on which the principal Trading Market is open for trading.</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Trading Market</w:t>
      </w:r>
      <w:r>
        <w:rPr>
          <w:rFonts w:ascii="Times New Roman;Times;serif" w:hAnsi="Times New Roman;Times;serif"/>
          <w:color w:val="000000"/>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Transaction Documents</w:t>
      </w:r>
      <w:r>
        <w:rPr>
          <w:rFonts w:ascii="Times New Roman;Times;serif" w:hAnsi="Times New Roman;Times;serif"/>
          <w:color w:val="000000"/>
          <w:sz w:val="20"/>
        </w:rPr>
        <w:t>” means this Agreement, the Lock-Up Agreements, the Warrants, all exhibits and schedules thereto and hereto and any other documents or agreements executed in connection with the transactions contemplated hereunder.</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Transfer Agent</w:t>
      </w:r>
      <w:r>
        <w:rPr>
          <w:rFonts w:ascii="Times New Roman;Times;serif" w:hAnsi="Times New Roman;Times;serif"/>
          <w:color w:val="000000"/>
          <w:sz w:val="20"/>
        </w:rPr>
        <w:t>” means Computershare Trust Company, N.A., the current transfer agent of the Company, with a mailing address of P.O Box 43006, Providence, Rhode Island 02940-3006, and any successor transfer agent of the Company.</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Variable Rate Transaction</w:t>
      </w:r>
      <w:r>
        <w:rPr>
          <w:rFonts w:ascii="Times New Roman;Times;serif" w:hAnsi="Times New Roman;Times;serif"/>
          <w:color w:val="000000"/>
          <w:sz w:val="20"/>
        </w:rPr>
        <w:t>” shall have the meaning ascribed to such term in Section 4.11(b).</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Warrants</w:t>
      </w:r>
      <w:r>
        <w:rPr>
          <w:rFonts w:ascii="Times New Roman;Times;serif" w:hAnsi="Times New Roman;Times;serif"/>
          <w:color w:val="000000"/>
          <w:sz w:val="20"/>
        </w:rPr>
        <w:t>” means, collectively, the Common Warrants and Prefunded Warrants.</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Times;serif" w:hAnsi="Times New Roman;Times;serif"/>
          <w:color w:val="000000"/>
          <w:sz w:val="20"/>
          <w:u w:val="single"/>
        </w:rPr>
        <w:t>Warrant Shares</w:t>
      </w:r>
      <w:r>
        <w:rPr>
          <w:rFonts w:ascii="Times New Roman;Times;serif" w:hAnsi="Times New Roman;Times;serif"/>
          <w:color w:val="000000"/>
          <w:sz w:val="20"/>
        </w:rPr>
        <w:t>” means the shares of Common Stock issuable upon exercise of the Warrants.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II.</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PURCHASE AND SALE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2.1        </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On the Closing Date, upon the terms and subject to the conditions set forth herein, the Company agrees to sell, and the Purchasers, severally and not jointly, agree to purchase, up to an aggregate of $45.5 million of Shares and Common Warrants;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w:t>
      </w:r>
      <w:r>
        <w:rPr>
          <w:rFonts w:ascii="Times New Roman;Times;serif" w:hAnsi="Times New Roman;Times;serif"/>
          <w:color w:val="000000"/>
          <w:sz w:val="20"/>
        </w:rPr>
        <w:t>r, that, to the extent that a Purchaser determines, in its sole discretion, that such Purchaser (together with such Purchaser’s Affiliates, any Person acting as a group together with such Purchaser or any of such Purchaser’s Affiliates</w:t>
      </w:r>
      <w:r>
        <w:rPr>
          <w:rFonts w:ascii="Times New Roman;Times;serif" w:hAnsi="Times New Roman;Times;serif"/>
          <w:color w:val="000000"/>
          <w:sz w:val="20"/>
          <w:u w:val="single"/>
        </w:rPr>
        <w:t xml:space="preserve"> and any other Persons whose beneficial ownership of the shares of Common Stock would or could be aggregated with the Purchaser’s for the purposes of Section 13(d) of the Exchange Act</w:t>
      </w:r>
      <w:r>
        <w:rPr>
          <w:rFonts w:ascii="Times New Roman;Times;serif" w:hAnsi="Times New Roman;Times;serif"/>
          <w:color w:val="000000"/>
          <w:sz w:val="20"/>
        </w:rPr>
        <w:t>) would beneficially own in excess of the Beneficial 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(less,</w:t>
      </w:r>
      <w:r>
        <w:rPr>
          <w:rFonts w:ascii="Times New Roman;Times;serif" w:hAnsi="Times New Roman;Times;serif"/>
          <w:color w:val="000000"/>
          <w:sz w:val="20"/>
          <w:u w:val="single"/>
        </w:rPr>
        <w:t xml:space="preserve"> for the avoidance of doubt, the aggregate exercise price of the Prefunded Warrants, which amounts shall be paid as and when such Prefunded Warrants are exercised for cash)</w:t>
      </w:r>
      <w:r>
        <w:rPr>
          <w:rFonts w:ascii="Times New Roman;Times;serif" w:hAnsi="Times New Roman;Times;serif"/>
          <w:color w:val="000000"/>
          <w:sz w:val="20"/>
        </w:rPr>
        <w:t>. The “</w:t>
      </w:r>
      <w:r>
        <w:rPr>
          <w:rFonts w:ascii="Times New Roman;Times;serif" w:hAnsi="Times New Roman;Times;serif"/>
          <w:color w:val="000000"/>
          <w:sz w:val="20"/>
          <w:u w:val="single"/>
        </w:rPr>
        <w:t>Beneficial Ownership Limitation</w:t>
      </w:r>
      <w:r>
        <w:rPr>
          <w:rFonts w:ascii="Times New Roman;Times;serif" w:hAnsi="Times New Roman;Times;serif"/>
          <w:color w:val="000000"/>
          <w:sz w:val="20"/>
        </w:rPr>
        <w:t>” shall be 4.99% (or, with respect to each Purchaser, at the election of such Purchaser at Closing, 9.99%) of the number of shares of the Common Stock outstanding immediately after giving effect to the issuance of the Shares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and a Common Warrant (and, if the applicable, a Prefunded Warrant)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Purchased Securities shall occur via “Delivery Versus Payment”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Upon receipt by the Company of the proceeds specified above, the Company shall deliver to each Purchaser its accompanying Warrants. Notwithstanding anything herein to the contrary, if at any time on or after the time of execution of this Agreement by the Company and an applicable Purchaser, through, and including the time immediately prior to the Closing (the “Pre-Settlement Period”), such Purchaser sells to any Person all, or any portion, of the Purchased Securities to be issued hereunder to such Purchaser at the Closing (collectively, the “Pre-Settlement Securities”), such Purchaser shall, automatically hereunder (without any additional required actions by such Purchaser or the Company), be deemed to be unconditionally bound to purchase and the Company shall be deemed unconditionally bound to sell, such Pre-Settlement Securities at the Closing; provided, that the Company shall not be required to deliver any Pre-Settlement Securities to such Purchaser prior to the Company’s receipt of the purchase price of such Pre-Settlement Securities hereunder; and provided further that the Company hereby acknowledges and agrees that the forgoing shall not constitute a representation or covenant by such Purchaser as to whether or not such Purchaser will elect to sell any Pre-Settlement Securities during the Pre-Settlement Period. The decision to sell any Purchased Securities will be made at the sole discretion of such Purchaser from time to time, including during the Pre-Settlement Period. Notwithstanding the foregoing, with respect to any Notice(s) of Exercise (as defined in the Warrants) delivered on or prior to 12:00 p.m. (New York City time) on the Closing Date, which may be delivered at any time after the time of execution of this Agreement, the Company agrees to deliver the Warrant Shares subject to such notice(s) by 4:00 p.m. (New York City time) on the Closing Date and the Closing Date shall be the Warrant Share Delivery Date (as defined in the Warrants) for purposes hereunder.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Deliveries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On or prior to the Closing Date (except as indicated below), the Company shall deliver or cause to be delivered to each Purchaser the following:</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this Agreement duly executed by the Company;</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a legal opinion of Company Counsel, substantially in form and substance reasonably satisfactory to the Placement Agent;</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subject to Section 2.1, the Company shall have provided each Purchaser with the Company’s wire instructions, on Company letterhead and executed by the Chief Executive Officer or Chief Financial Officer;</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subject to Section 2.1, a copy of the irrevocable instructions to the Transfer Agent instructing the Transfer Agent to deliver on an expedited basis via the Depository Trust Company Deposit or Withdrawal at Custodian system (“DWAC”) Shares equal to such Purchaser’s Subscription Amount divided by the Per Share Purchase Price (rounded down to the nearest whole Share) (minus the number of shares of Common Stock issuable upon exercise of such Purchaser’s Prefunded Warrants, if applicable), registered in the name of such Purchaser;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a Common Warrant registered in the name of such Purchaser to purchase up to a number of shares of Common Stock equal to 100% of such Purchaser’s Shares and Prefunded Warrant Shares, if applicable, with an exercise price equal to $3.45, subject to adjustment therein;</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if applicable, for each Purchaser of Prefunded Warrants pursuant to Section 2.1, a Prefunded Warrant registered in the name of such Purchaser to purchase up to a number of shares of Common Stock equal to the portion of such Purchaser’s Subscription Amount applicable to Prefunded Warrants divided by the Per Share Purchase Price (rounded down to the nearest whole Prefunded Warrant) minus $0.001, with an exercise price equal to $0.001, subject to adjustment therein;</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on the date hereof, the duly executed Lock-Up Agreements; and</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the Prospectus and Prospectus Supplement (which may be delivered in accordance with Rule 172 under the Securities Act).</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On or prior to the Closing Date, each Purchaser shall deliver or cause to be delivered to the Company, the following:</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this Agreement duly executed by such Purchaser; and</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such Purchaser’s Subscription Amount (minus, if applicable, a Purchaser’s aggregate exercise price of the Prefunded Warrants, which amounts shall be paid as and when such Prefunded Warrants are exercised for cash), which shall be made available for DVP settlement with the Company or its designee.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Closing Conditions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The obligations of the Company hereunder in connection with the Closing with respect to each Purchaser are subject to the following conditions being met:</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the accuracy in all material respects (or, to the extent representations or warranties are qualified by materiality or Material Adverse Effect, in all respects) when made and on the Closing Date of the representations and warranties of such Purchaser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all obligations, covenants and agreements of such Purchaser required to be performed at or prior to the Closing Date shall have been performed in all material respects; and</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the delivery by such Purchaser of the items set forth in Section 2.2(b) of this Agreement.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The respective obligations of the Purchasers hereunder in connection with the Closing are subject to the following conditions being met:</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all obligations, covenants and agreements of the Company required to be performed at or prior to the Closing Date shall have been performed in all material respects;</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the delivery by the Company of the items set forth in Section 2.2(a) of this Agreement;</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there shall have been no Material Adverse Effect with respect to the Company since the date hereof;</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Purchased Securities at the Closing; and</w:t>
      </w:r>
    </w:p>
    <w:p>
      <w:pPr>
        <w:pStyle w:val="TextBody"/>
        <w:bidi w:val="0"/>
        <w:spacing w:before="0" w:after="0"/>
        <w:jc w:val="left"/>
        <w:rPr/>
      </w:pPr>
      <w:r>
        <w:rPr/>
      </w:r>
    </w:p>
    <w:p>
      <w:pPr>
        <w:pStyle w:val="TextBody"/>
        <w:bidi w:val="0"/>
        <w:spacing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if required by the rules of the principal Trading Market, the Company shall have filed an additional listing application or notification, as the case may be, with the principal Trading Market with respect to the Shares and Warrant Shares.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III.</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REPRESENTATIONS AND WARRANTIES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3.1         </w:t>
      </w:r>
      <w:r>
        <w:rPr>
          <w:rFonts w:ascii="Times New Roman;Times;serif" w:hAnsi="Times New Roman;Times;serif"/>
          <w:color w:val="000000"/>
          <w:sz w:val="20"/>
          <w:u w:val="single"/>
        </w:rPr>
        <w:t>Representations and Warranties of the Company</w:t>
      </w:r>
      <w:r>
        <w:rPr>
          <w:rFonts w:ascii="Times New Roman;Times;serif" w:hAnsi="Times New Roman;Times;serif"/>
          <w:color w:val="000000"/>
          <w:sz w:val="20"/>
        </w:rPr>
        <w:t>.  Except as set forth in the SEC Reports (other than the risk factors and forward-looking statement disclaimers, except for any factual historical statements contained therein), the Company hereby makes the following representations and warranties to each Purchaser as of the date hereof and as of the Closing Date as follows (unless as of a specific date therein, in which case they shall be accurate as of such date):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Subsidiaries</w:t>
      </w:r>
      <w:r>
        <w:rPr>
          <w:rFonts w:ascii="Times New Roman;Times;serif" w:hAnsi="Times New Roman;Times;serif"/>
          <w:color w:val="000000"/>
          <w:sz w:val="20"/>
        </w:rPr>
        <w:t>.  All of the material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Organization and Qualification</w:t>
      </w:r>
      <w:r>
        <w:rPr>
          <w:rFonts w:ascii="Times New Roman;Times;serif" w:hAnsi="Times New Roman;Times;serif"/>
          <w:color w:val="000000"/>
          <w:sz w:val="20"/>
        </w:rPr>
        <w:t>.  The Company and each of the Subsidiaries is an entity duly incorporated or otherwise organized, validly existing and, if applicable under the laws of the jurisdiction in which they are formed, in good standing (or such similar concept)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color w:val="000000"/>
          <w:sz w:val="20"/>
          <w:u w:val="single"/>
        </w:rPr>
        <w:t>Material Adverse Effect</w:t>
      </w:r>
      <w:r>
        <w:rPr>
          <w:rFonts w:ascii="Times New Roman;Times;serif" w:hAnsi="Times New Roman;Times;serif"/>
          <w:color w:val="000000"/>
          <w:sz w:val="20"/>
        </w:rPr>
        <w:t>”) and no Proceeding has been instituted in any such jurisdiction revoking, limiting or curtailing or seeking to revoke, limit or curtail such power and authority or qualification.</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color w:val="000000"/>
          <w:sz w:val="20"/>
          <w:u w:val="single"/>
        </w:rPr>
        <w:t>Authorization; Enforcement</w:t>
      </w:r>
      <w:r>
        <w:rPr>
          <w:rFonts w:ascii="Times New Roman;Times;serif" w:hAnsi="Times New Roman;Times;serif"/>
          <w:color w:val="000000"/>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color w:val="000000"/>
          <w:sz w:val="20"/>
          <w:u w:val="single"/>
        </w:rPr>
        <w:t>No Conflicts</w:t>
      </w:r>
      <w:r>
        <w:rPr>
          <w:rFonts w:ascii="Times New Roman;Times;serif" w:hAnsi="Times New Roman;Times;serif"/>
          <w:color w:val="000000"/>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pursuant to,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individually or in the aggregate, have or reasonably be expected to result in a Material Adverse Effect.</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Filings, Consents and Approvals</w:t>
      </w:r>
      <w:r>
        <w:rPr>
          <w:rFonts w:ascii="Times New Roman;Times;serif" w:hAnsi="Times New Roman;Times;serif"/>
          <w:color w:val="000000"/>
          <w:sz w:val="20"/>
        </w:rPr>
        <w:t>.  The Company is not required to obtain any consent, waiver, authorization or order of, give any notice to, or make any filing or registration with, any court or other federal, state, local, foreign or other governmental authority or other Person in connection with the execution, delivery and performance by the Company of the Transaction Documents, other than: (i) the filings required pursuant to Section 4.4 of this Agreement, (ii) the filing with the Commission of the Prospectus and the Prospectus Supplement, (iii) the notice and/or application(s) to each applicable Trading Market for the listing of the Shares and Warrant Shares for trading thereon in the time and manner required thereby, and (iv) such filings as are required to be made under applicable state securities laws (collectively, the “</w:t>
      </w:r>
      <w:r>
        <w:rPr>
          <w:rFonts w:ascii="Times New Roman;Times;serif" w:hAnsi="Times New Roman;Times;serif"/>
          <w:color w:val="000000"/>
          <w:sz w:val="20"/>
          <w:u w:val="single"/>
        </w:rPr>
        <w:t>Required Approvals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color w:val="000000"/>
          <w:sz w:val="20"/>
          <w:u w:val="single"/>
        </w:rPr>
        <w:t>Issuance of the Securities; Registration</w:t>
      </w:r>
      <w:r>
        <w:rPr>
          <w:rFonts w:ascii="Times New Roman;Times;serif" w:hAnsi="Times New Roman;Times;serif"/>
          <w:color w:val="000000"/>
          <w:sz w:val="20"/>
        </w:rPr>
        <w:t>.  The Securities are duly authorized and, when issued and paid for in accordance with the applicable Transaction Documents, will be duly and validly issued, fully paid and nonassessable, free and clear of all Liens imposed by the Company.  The Warrants, when paid for and issued in accordance with this Agreement, will constitute valid and binding obligations of the Company, enforceable against the Company in accordance with their terms, except as such enforceability may be limited by bankruptcy, insolvency, reorganization, moratorium and similar laws affecting the rights of creditors generally and subject to general principles of equity. The Warrant Shares, when issued in accordance with the terms of the Warrants, will be validly issued, fully paid and nonassessable, free and clear of all Liens imposed by the Company.  The Company has reserved and will keep available from its duly authorized but unissued shares of Common Stock, and at all times will have sufficient authorized but unissued shares of Common Stock to accommodate, the maximum number of shares of Common Stock issuable pursuant to this Agreement and the Warrants. The Company has prepared and filed the Registration Statement in conformity with the requirements of the Securities Act, which became effective on August 18, 2026 (the “</w:t>
      </w:r>
      <w:r>
        <w:rPr>
          <w:rFonts w:ascii="Times New Roman;Times;serif" w:hAnsi="Times New Roman;Times;serif"/>
          <w:color w:val="000000"/>
          <w:sz w:val="20"/>
          <w:u w:val="single"/>
        </w:rPr>
        <w:t>Effective Date</w:t>
      </w:r>
      <w:r>
        <w:rPr>
          <w:rFonts w:ascii="Times New Roman;Times;serif" w:hAnsi="Times New Roman;Times;serif"/>
          <w:color w:val="000000"/>
          <w:sz w:val="20"/>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as set forth in General Instruction I.B.1 of Form S-3.</w:t>
      </w:r>
    </w:p>
    <w:p>
      <w:pPr>
        <w:pStyle w:val="TextBody"/>
        <w:bidi w:val="0"/>
        <w:spacing w:before="0" w:after="0"/>
        <w:jc w:val="left"/>
        <w:rPr/>
      </w:pPr>
      <w:r>
        <w:rPr/>
      </w:r>
    </w:p>
    <w:p>
      <w:pPr>
        <w:pStyle w:val="TextBody"/>
        <w:bidi w:val="0"/>
        <w:spacing w:lineRule="auto" w:line="24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(g)        </w:t>
      </w:r>
      <w:r>
        <w:rPr>
          <w:rFonts w:ascii="Times New Roman;Times;serif" w:hAnsi="Times New Roman;Times;serif"/>
          <w:color w:val="000000"/>
          <w:sz w:val="20"/>
          <w:u w:val="single"/>
        </w:rPr>
        <w:t>Capitalization</w:t>
      </w:r>
      <w:r>
        <w:rPr>
          <w:rFonts w:ascii="Times New Roman;Times;serif" w:hAnsi="Times New Roman;Times;serif"/>
          <w:color w:val="000000"/>
          <w:sz w:val="20"/>
        </w:rPr>
        <w:t>.  As of October 4, 2026, the Company had 98,708,140 shares of Common Stock outstanding and no shares of preferred stock outstanding.  No Person has any right of first refusal, preemptive right, right of participation, or any similar right to participate in the transactions contemplated by the Transaction Documents.  Except as a result of the purchase and sale of the Purchased Securities and pursuant to the Company’s equity compensation plans,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bound to redeem a security of the Company or such Subsidiary. The Company does not have any stock appreciation rights or “phantom stock” plans or agreements.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(h)        </w:t>
      </w:r>
      <w:r>
        <w:rPr>
          <w:rFonts w:ascii="Times New Roman;Times;serif" w:hAnsi="Times New Roman;Times;serif"/>
          <w:color w:val="000000"/>
          <w:sz w:val="20"/>
          <w:u w:val="single"/>
        </w:rPr>
        <w:t>SEC Reports; Financial Statements</w:t>
      </w:r>
      <w:r>
        <w:rPr>
          <w:rFonts w:ascii="Times New Roman;Times;serif" w:hAnsi="Times New Roman;Times;serif"/>
          <w:color w:val="000000"/>
          <w:sz w:val="20"/>
        </w:rPr>
        <w:t>.  The Company has filed all reports, schedules, forms, statements and other documents required to be filed by the Company under the Securities Act and the Exchange Act, including pursuant to Section 13(a) or 15(d) thereof, for the 12 months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color w:val="000000"/>
          <w:sz w:val="20"/>
          <w:u w:val="single"/>
        </w:rPr>
        <w:t>SEC Reports</w:t>
      </w:r>
      <w:r>
        <w:rPr>
          <w:rFonts w:ascii="Times New Roman;Times;serif" w:hAnsi="Times New Roman;Times;serif"/>
          <w:color w:val="000000"/>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color w:val="000000"/>
          <w:sz w:val="20"/>
          <w:u w:val="single"/>
        </w:rPr>
        <w:t>GAAP</w:t>
      </w:r>
      <w:r>
        <w:rPr>
          <w:rFonts w:ascii="Times New Roman;Times;serif" w:hAnsi="Times New Roman;Times;serif"/>
          <w:color w:val="000000"/>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         </w:t>
      </w:r>
      <w:r>
        <w:rPr>
          <w:rFonts w:ascii="Times New Roman;Times;serif" w:hAnsi="Times New Roman;Times;serif"/>
          <w:color w:val="000000"/>
          <w:sz w:val="20"/>
          <w:u w:val="single"/>
        </w:rPr>
        <w:t>Material Changes; Undisclosed Events, Liabilities or Developments</w:t>
      </w:r>
      <w:r>
        <w:rPr>
          <w:rFonts w:ascii="Times New Roman;Times;serif" w:hAnsi="Times New Roman;Times;serif"/>
          <w:color w:val="000000"/>
          <w:sz w:val="20"/>
        </w:rPr>
        <w:t>.  Since the date of the latest audited financial statements included within the SEC Reports,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materially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Company equity compensation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(i) disclosed to the Purchasers prior to the date hereof and (ii) publicly disclosed in accordance with Section 4.4 hereof.</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Litigation</w:t>
      </w:r>
      <w:r>
        <w:rPr>
          <w:rFonts w:ascii="Times New Roman;Times;serif" w:hAnsi="Times New Roman;Times;serif"/>
          <w:color w:val="000000"/>
          <w:sz w:val="20"/>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color w:val="000000"/>
          <w:sz w:val="20"/>
          <w:u w:val="single"/>
        </w:rPr>
        <w:t>Action</w:t>
      </w:r>
      <w:r>
        <w:rPr>
          <w:rFonts w:ascii="Times New Roman;Times;serif" w:hAnsi="Times New Roman;Times;serif"/>
          <w:color w:val="000000"/>
          <w:sz w:val="20"/>
        </w:rPr>
        <w:t>”), which (i) adversely affects or challenges the legality, validity or enforceability of any of the Transaction Documents or the Securities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(k)         </w:t>
      </w:r>
      <w:r>
        <w:rPr>
          <w:rFonts w:ascii="Times New Roman;Times;serif" w:hAnsi="Times New Roman;Times;serif"/>
          <w:color w:val="000000"/>
          <w:sz w:val="20"/>
          <w:u w:val="single"/>
        </w:rPr>
        <w:t>Labor Relations</w:t>
      </w:r>
      <w:r>
        <w:rPr>
          <w:rFonts w:ascii="Times New Roman;Times;serif" w:hAnsi="Times New Roman;Times;serif"/>
          <w:color w:val="000000"/>
          <w:sz w:val="20"/>
        </w:rPr>
        <w:t>.  No labor dispute exists or, to the knowledge of the Company, is threatened or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except where the violation would not, individually or in the aggregate, reasonably be expected to result in a Material Adverse Effect.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Compliance</w:t>
      </w:r>
      <w:r>
        <w:rPr>
          <w:rFonts w:ascii="Times New Roman;Times;serif" w:hAnsi="Times New Roman;Times;serif"/>
          <w:color w:val="000000"/>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(m)       </w:t>
      </w:r>
      <w:r>
        <w:rPr>
          <w:rFonts w:ascii="Times New Roman;Times;serif" w:hAnsi="Times New Roman;Times;serif"/>
          <w:color w:val="000000"/>
          <w:sz w:val="20"/>
          <w:u w:val="single"/>
        </w:rPr>
        <w:t>Regulatory Permits</w:t>
      </w:r>
      <w:r>
        <w:rPr>
          <w:rFonts w:ascii="Times New Roman;Times;serif" w:hAnsi="Times New Roman;Times;serif"/>
          <w:color w:val="000000"/>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Times;serif" w:hAnsi="Times New Roman;Times;serif"/>
          <w:color w:val="000000"/>
          <w:sz w:val="20"/>
          <w:u w:val="single"/>
        </w:rPr>
        <w:t>Material Permits</w:t>
      </w:r>
      <w:r>
        <w:rPr>
          <w:rFonts w:ascii="Times New Roman;Times;serif" w:hAnsi="Times New Roman;Times;serif"/>
          <w:color w:val="000000"/>
          <w:sz w:val="20"/>
        </w:rPr>
        <w:t>”), and neither the Company nor any Subsidiary has received any notice of proceedings relating to the revocation or modification of any Material Permit.</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(n)        </w:t>
      </w:r>
      <w:r>
        <w:rPr>
          <w:rFonts w:ascii="Times New Roman;Times;serif" w:hAnsi="Times New Roman;Times;serif"/>
          <w:color w:val="000000"/>
          <w:sz w:val="20"/>
          <w:u w:val="single"/>
        </w:rPr>
        <w:t>Title to Assets</w:t>
      </w:r>
      <w:r>
        <w:rPr>
          <w:rFonts w:ascii="Times New Roman;Times;serif" w:hAnsi="Times New Roman;Times;serif"/>
          <w:color w:val="000000"/>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foreign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(o)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reasonably be expected to have a Material Adverse Effect (collectively, the “</w:t>
      </w:r>
      <w:r>
        <w:rPr>
          <w:rFonts w:ascii="Times New Roman;Times;serif" w:hAnsi="Times New Roman;Times;serif"/>
          <w:color w:val="000000"/>
          <w:sz w:val="20"/>
          <w:u w:val="single"/>
        </w:rPr>
        <w:t>Intellectual Property Rights</w:t>
      </w:r>
      <w:r>
        <w:rPr>
          <w:rFonts w:ascii="Times New Roman;Times;serif" w:hAnsi="Times New Roman;Times;serif"/>
          <w:color w:val="000000"/>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(p)         </w:t>
      </w:r>
      <w:r>
        <w:rPr>
          <w:rFonts w:ascii="Times New Roman;Times;serif" w:hAnsi="Times New Roman;Times;serif"/>
          <w:color w:val="000000"/>
          <w:sz w:val="20"/>
          <w:u w:val="single"/>
        </w:rPr>
        <w:t>Insurance</w:t>
      </w:r>
      <w:r>
        <w:rPr>
          <w:rFonts w:ascii="Times New Roman;Times;serif" w:hAnsi="Times New Roman;Times;serif"/>
          <w:color w:val="000000"/>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(q)         </w:t>
      </w:r>
      <w:r>
        <w:rPr>
          <w:rFonts w:ascii="Times New Roman;Times;serif" w:hAnsi="Times New Roman;Times;serif"/>
          <w:color w:val="000000"/>
          <w:sz w:val="20"/>
          <w:u w:val="single"/>
        </w:rPr>
        <w:t>Transactions With Affiliates and Employees</w:t>
      </w:r>
      <w:r>
        <w:rPr>
          <w:rFonts w:ascii="Times New Roman;Times;serif" w:hAnsi="Times New Roman;Times;serif"/>
          <w:color w:val="000000"/>
          <w:sz w:val="20"/>
        </w:rPr>
        <w:t>.  Except as set forth in the SEC Reports, none of the executive officers or directors of the Company and, to the knowledge of the Company, none of the employees of the Company or any Subsidiary is presently a party to any transaction with the Company or any Subsidiary (other than for services as employees, executive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executive officer, director or such employee or, to the knowledge of the Company, any entity in which any executive officer, director, or any such employee has a substantial interest or is an executive officer, director, trustee, stockholder, member or partner, in each case in excess of $120,000 other than for (i) payment of compensation for services rendered (including the issuance of equity awards under the Company’s equity compensation plans or other payments pursuant to written employment agreements or offer letters or severance arrangements), (ii) reimbursement for expenses incurred on behalf of the Company and (iii) other employee benefits, including equity awards granted under any equity compensation plan of the Company.</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         </w:t>
      </w:r>
      <w:r>
        <w:rPr>
          <w:rFonts w:ascii="Times New Roman;Times;serif" w:hAnsi="Times New Roman;Times;serif"/>
          <w:color w:val="000000"/>
          <w:sz w:val="20"/>
          <w:u w:val="single"/>
        </w:rPr>
        <w:t>Sarbanes-Oxley; Internal Accounting Controls</w:t>
      </w:r>
      <w:r>
        <w:rPr>
          <w:rFonts w:ascii="Times New Roman;Times;serif" w:hAnsi="Times New Roman;Times;serif"/>
          <w:color w:val="000000"/>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color w:val="000000"/>
          <w:sz w:val="20"/>
          <w:u w:val="single"/>
        </w:rPr>
        <w:t>Evaluation Date</w:t>
      </w:r>
      <w:r>
        <w:rPr>
          <w:rFonts w:ascii="Times New Roman;Times;serif" w:hAnsi="Times New Roman;Times;serif"/>
          <w:color w:val="000000"/>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color w:val="000000"/>
          <w:sz w:val="20"/>
          <w:u w:val="single"/>
        </w:rPr>
        <w:t>Certain Fees</w:t>
      </w:r>
      <w:r>
        <w:rPr>
          <w:rFonts w:ascii="Times New Roman;Times;serif" w:hAnsi="Times New Roman;Times;serif"/>
          <w:color w:val="000000"/>
          <w:sz w:val="20"/>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         </w:t>
      </w:r>
      <w:r>
        <w:rPr>
          <w:rFonts w:ascii="Times New Roman;Times;serif" w:hAnsi="Times New Roman;Times;serif"/>
          <w:color w:val="000000"/>
          <w:sz w:val="20"/>
          <w:u w:val="single"/>
        </w:rPr>
        <w:t>Investment Company</w:t>
      </w:r>
      <w:r>
        <w:rPr>
          <w:rFonts w:ascii="Times New Roman;Times;serif" w:hAnsi="Times New Roman;Times;serif"/>
          <w:color w:val="000000"/>
          <w:sz w:val="20"/>
        </w:rPr>
        <w:t>. Neither the Company nor any Subsidiary is required to register, or is an Affiliate of a company required to register, and immediately after receipt of payment for the Purchased Securities and application thereof, neither the Company nor any Subsidiary will be required to register or be an Affiliate of a company required to register, as an “investment company” within the meaning of the Investment Company Act of 1940, as amended. The Company shall conduct its business in a manner so that it will not become required to register as an “investment company” under the Investment Company Act of 1940, as amended.</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(u)         </w:t>
      </w:r>
      <w:r>
        <w:rPr>
          <w:rFonts w:ascii="Times New Roman;Times;serif" w:hAnsi="Times New Roman;Times;serif"/>
          <w:color w:val="000000"/>
          <w:sz w:val="20"/>
          <w:u w:val="single"/>
        </w:rPr>
        <w:t>Registration Rights</w:t>
      </w:r>
      <w:r>
        <w:rPr>
          <w:rFonts w:ascii="Times New Roman;Times;serif" w:hAnsi="Times New Roman;Times;serif"/>
          <w:color w:val="000000"/>
          <w:sz w:val="20"/>
        </w:rPr>
        <w:t>.  Except as set forth in the SEC Reports, no Person has any right to cause the Company or any Subsidiary to effect the registration under the Securities Act of any securities of the Company or any Subsidiary.</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(v)         </w:t>
      </w:r>
      <w:r>
        <w:rPr>
          <w:rFonts w:ascii="Times New Roman;Times;serif" w:hAnsi="Times New Roman;Times;serif"/>
          <w:color w:val="000000"/>
          <w:sz w:val="20"/>
          <w:u w:val="single"/>
        </w:rPr>
        <w:t>Listing and Maintenance Requirements</w:t>
      </w:r>
      <w:r>
        <w:rPr>
          <w:rFonts w:ascii="Times New Roman;Times;serif" w:hAnsi="Times New Roman;Times;serif"/>
          <w:color w:val="000000"/>
          <w:sz w:val="20"/>
        </w:rPr>
        <w:t>.  The Common Stock is registered pursuant to Section 12(b)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The Company is in compliance in all material respects with the applicable continued listing requirements of each Trading Market on which the Common Stock is currently listed or quoted, and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        </w:t>
      </w:r>
      <w:r>
        <w:rPr>
          <w:rFonts w:ascii="Times New Roman;Times;serif" w:hAnsi="Times New Roman;Times;serif"/>
          <w:color w:val="000000"/>
          <w:sz w:val="20"/>
          <w:u w:val="single"/>
        </w:rPr>
        <w:t>Application of Takeover Protections</w:t>
      </w:r>
      <w:r>
        <w:rPr>
          <w:rFonts w:ascii="Times New Roman;Times;serif" w:hAnsi="Times New Roman;Times;serif"/>
          <w:color w:val="000000"/>
          <w:sz w:val="20"/>
        </w:rPr>
        <w:t>.  The Company and the Board of Directors have taken all necessary action, if any, in order to render inapplicable any control share acquisition, business combination, poison pill (including any distribution under a rights agreement) or other similar anti</w:t>
        <w:noBreakHyphen/>
        <w:t>takeover provision under the Company’s certificate of incorporation (or similar charter documents) or the laws of its state of incorporation that is or would reasonably be expected to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(x)          </w:t>
      </w:r>
      <w:r>
        <w:rPr>
          <w:rFonts w:ascii="Times New Roman;Times;serif" w:hAnsi="Times New Roman;Times;serif"/>
          <w:color w:val="000000"/>
          <w:sz w:val="20"/>
          <w:u w:val="single"/>
        </w:rPr>
        <w:t>Disclosure</w:t>
      </w:r>
      <w:r>
        <w:rPr>
          <w:rFonts w:ascii="Times New Roman;Times;serif" w:hAnsi="Times New Roman;Times;serif"/>
          <w:color w:val="000000"/>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SEC Reports, is true and correct in all material respects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color w:val="000000"/>
          <w:sz w:val="20"/>
          <w:u w:val="single"/>
        </w:rPr>
        <w:t>No Integrated Offering</w:t>
      </w:r>
      <w:r>
        <w:rPr>
          <w:rFonts w:ascii="Times New Roman;Times;serif" w:hAnsi="Times New Roman;Times;serif"/>
          <w:color w:val="000000"/>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(z)          </w:t>
      </w:r>
      <w:r>
        <w:rPr>
          <w:rFonts w:ascii="Times New Roman;Times;serif" w:hAnsi="Times New Roman;Times;serif"/>
          <w:color w:val="000000"/>
          <w:sz w:val="20"/>
          <w:u w:val="single"/>
        </w:rPr>
        <w:t>Solvency</w:t>
      </w:r>
      <w:r>
        <w:rPr>
          <w:rFonts w:ascii="Times New Roman;Times;serif" w:hAnsi="Times New Roman;Times;serif"/>
          <w:color w:val="000000"/>
          <w:sz w:val="20"/>
        </w:rPr>
        <w:t>.  Based on the consolidated financial condition of the Company as of the Closing Date, after giving effect to the receipt by the Company of the proceeds from the sale of the Purchased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(1) year from the Closing Date. Except as disclosed in the SEC Reports, as of the date hereof, neither the Company nor any Subsidiary has any outstanding secured or unsecured Indebtedness.  For the purposes of this Agreement, “</w:t>
      </w:r>
      <w:r>
        <w:rPr>
          <w:rFonts w:ascii="Times New Roman;Times;serif" w:hAnsi="Times New Roman;Times;serif"/>
          <w:color w:val="000000"/>
          <w:sz w:val="20"/>
          <w:u w:val="single"/>
        </w:rPr>
        <w:t>Indebtedness</w:t>
      </w:r>
      <w:r>
        <w:rPr>
          <w:rFonts w:ascii="Times New Roman;Times;serif" w:hAnsi="Times New Roman;Times;serif"/>
          <w:color w:val="000000"/>
          <w:sz w:val="20"/>
        </w:rPr>
        <w:t>” means (x) any liabilities for borrowed money or amounts owed in excess of $50,000 (other than trade accounts payable incurred in the ordinary course of business), (y) all guaranties, endorsements and other contingent obligations in respect of indebtedness of others in excess of $50,000,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any lease required to be capitalized in accordance with GAAP.  Neither the Company nor any Subsidiary is in default with respect to any Indebtedness.</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(aa)         </w:t>
      </w:r>
      <w:r>
        <w:rPr>
          <w:rFonts w:ascii="Times New Roman;Times;serif" w:hAnsi="Times New Roman;Times;serif"/>
          <w:color w:val="000000"/>
          <w:sz w:val="20"/>
          <w:u w:val="single"/>
        </w:rPr>
        <w:t>Tax Status</w:t>
      </w:r>
      <w:r>
        <w:rPr>
          <w:rFonts w:ascii="Times New Roman;Times;serif" w:hAnsi="Times New Roman;Times;serif"/>
          <w:color w:val="000000"/>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claimed to be due by the taxing authority of any jurisdiction that, individually or in the aggregate, would reasonably be expected to result in a Material Adverse Effect, and the officers of the Company or of any Subsidiary know of no basis for any such claim.</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(bb)       </w:t>
      </w:r>
      <w:r>
        <w:rPr>
          <w:rFonts w:ascii="Times New Roman;Times;serif" w:hAnsi="Times New Roman;Times;serif"/>
          <w:color w:val="000000"/>
          <w:sz w:val="20"/>
          <w:u w:val="single"/>
        </w:rPr>
        <w:t>Foreign Corrupt Practices</w:t>
      </w:r>
      <w:r>
        <w:rPr>
          <w:rFonts w:ascii="Times New Roman;Times;serif" w:hAnsi="Times New Roman;Times;serif"/>
          <w:color w:val="000000"/>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(cc)          </w:t>
      </w:r>
      <w:r>
        <w:rPr>
          <w:rFonts w:ascii="Times New Roman;Times;serif" w:hAnsi="Times New Roman;Times;serif"/>
          <w:color w:val="000000"/>
          <w:sz w:val="20"/>
          <w:u w:val="single"/>
        </w:rPr>
        <w:t>Accountants</w:t>
      </w:r>
      <w:r>
        <w:rPr>
          <w:rFonts w:ascii="Times New Roman;Times;serif" w:hAnsi="Times New Roman;Times;serif"/>
          <w:color w:val="000000"/>
          <w:sz w:val="20"/>
        </w:rPr>
        <w:t>.  The Company’s independent registered public accounting firm is KPMG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(dd)         </w:t>
      </w:r>
      <w:r>
        <w:rPr>
          <w:rFonts w:ascii="Times New Roman;Times;serif" w:hAnsi="Times New Roman;Times;serif"/>
          <w:color w:val="000000"/>
          <w:sz w:val="20"/>
          <w:u w:val="single"/>
        </w:rPr>
        <w:t>Acknowledgment Regarding Purchasers’ Purchase of Securities</w:t>
      </w:r>
      <w:r>
        <w:rPr>
          <w:rFonts w:ascii="Times New Roman;Times;serif" w:hAnsi="Times New Roman;Times;serif"/>
          <w:color w:val="000000"/>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(ee)       </w:t>
      </w:r>
      <w:r>
        <w:rPr>
          <w:rFonts w:ascii="Times New Roman;Times;serif" w:hAnsi="Times New Roman;Times;serif"/>
          <w:color w:val="000000"/>
          <w:sz w:val="20"/>
          <w:u w:val="single"/>
        </w:rPr>
        <w:t>Acknowledgment Regarding Purchaser’s Trading Activity</w:t>
      </w:r>
      <w:r>
        <w:rPr>
          <w:rFonts w:ascii="Times New Roman;Times;serif" w:hAnsi="Times New Roman;Times;serif"/>
          <w:color w:val="000000"/>
          <w:sz w:val="20"/>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transaction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(ff)           </w:t>
      </w:r>
      <w:r>
        <w:rPr>
          <w:rFonts w:ascii="Times New Roman;Times;serif" w:hAnsi="Times New Roman;Times;serif"/>
          <w:color w:val="000000"/>
          <w:sz w:val="20"/>
          <w:u w:val="single"/>
        </w:rPr>
        <w:t>Regulation M Compliance</w:t>
      </w:r>
      <w:r>
        <w:rPr>
          <w:rFonts w:ascii="Times New Roman;Times;serif" w:hAnsi="Times New Roman;Times;serif"/>
          <w:color w:val="000000"/>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(gg)       </w:t>
      </w:r>
      <w:r>
        <w:rPr>
          <w:rFonts w:ascii="Times New Roman;Times;serif" w:hAnsi="Times New Roman;Times;serif"/>
          <w:color w:val="000000"/>
          <w:sz w:val="20"/>
          <w:u w:val="single"/>
        </w:rPr>
        <w:t>Cybersecurity</w:t>
      </w:r>
      <w:r>
        <w:rPr>
          <w:rFonts w:ascii="Times New Roman;Times;serif" w:hAnsi="Times New Roman;Times;serif"/>
          <w:color w:val="000000"/>
          <w:sz w:val="20"/>
        </w:rPr>
        <w:t>. (i)(x) To the Company’s knowledge, there has been no security breach or other compromise of any of the Company’s information technology and computer systems, networks, hardware, software, data (including the data of its customers, employees, suppliers, vendors and any third party data maintained by or on behalf of it), equipment or technology (collectively, “</w:t>
      </w:r>
      <w:r>
        <w:rPr>
          <w:rFonts w:ascii="Times New Roman;Times;serif" w:hAnsi="Times New Roman;Times;serif"/>
          <w:color w:val="000000"/>
          <w:sz w:val="20"/>
          <w:u w:val="single"/>
        </w:rPr>
        <w:t>IT Systems and Data</w:t>
      </w:r>
      <w:r>
        <w:rPr>
          <w:rFonts w:ascii="Times New Roman;Times;serif" w:hAnsi="Times New Roman;Times;serif"/>
          <w:color w:val="000000"/>
          <w:sz w:val="20"/>
        </w:rPr>
        <w:t>”), except as would not, individually or in the aggregate, reasonably be expected to have a Material Adverse Effect, and (y) the Company has not been notified of, and has no knowledge of any event or condition that would reasonably be expected to result in, any security breach or other compromise to its IT Systems and Data; (ii) the Company is presently in compliance with all applicable state, federal and foreign data privacy and security laws (collectively, “</w:t>
      </w:r>
      <w:r>
        <w:rPr>
          <w:rFonts w:ascii="Times New Roman;Times;serif" w:hAnsi="Times New Roman;Times;serif"/>
          <w:color w:val="000000"/>
          <w:sz w:val="20"/>
          <w:u w:val="single"/>
        </w:rPr>
        <w:t>Privacy Laws</w:t>
      </w:r>
      <w:r>
        <w:rPr>
          <w:rFonts w:ascii="Times New Roman;Times;serif" w:hAnsi="Times New Roman;Times;serif"/>
          <w:color w:val="000000"/>
          <w:sz w:val="20"/>
        </w:rPr>
        <w:t>”)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and (iii) the Company and the Subsidiaries have implemented backup and disaster recovery technology consistent with industry standards and practices.</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(hh)       </w:t>
      </w:r>
      <w:r>
        <w:rPr>
          <w:rFonts w:ascii="Times New Roman;Times;serif" w:hAnsi="Times New Roman;Times;serif"/>
          <w:color w:val="000000"/>
          <w:sz w:val="20"/>
          <w:u w:val="single"/>
        </w:rPr>
        <w:t>Data Privacy</w:t>
      </w:r>
      <w:r>
        <w:rPr>
          <w:rFonts w:ascii="Times New Roman;Times;serif" w:hAnsi="Times New Roman;Times;serif"/>
          <w:color w:val="000000"/>
          <w:sz w:val="20"/>
        </w:rPr>
        <w:t>.  The Company and the Subsidiaries have in place and materially comply with external-facing policies relating to data privacy and the collection, storage, use, disclosure, handling and analysis of Personal Data (as defined below) (the “</w:t>
      </w:r>
      <w:r>
        <w:rPr>
          <w:rFonts w:ascii="Times New Roman;Times;serif" w:hAnsi="Times New Roman;Times;serif"/>
          <w:color w:val="000000"/>
          <w:sz w:val="20"/>
          <w:u w:val="single"/>
        </w:rPr>
        <w:t>Policies</w:t>
      </w:r>
      <w:r>
        <w:rPr>
          <w:rFonts w:ascii="Times New Roman;Times;serif" w:hAnsi="Times New Roman;Times;serif"/>
          <w:color w:val="000000"/>
          <w:sz w:val="20"/>
        </w:rPr>
        <w:t>”). “</w:t>
      </w:r>
      <w:r>
        <w:rPr>
          <w:rFonts w:ascii="Times New Roman;Times;serif" w:hAnsi="Times New Roman;Times;serif"/>
          <w:color w:val="000000"/>
          <w:sz w:val="20"/>
          <w:u w:val="single"/>
        </w:rPr>
        <w:t>Personal Data</w:t>
      </w:r>
      <w:r>
        <w:rPr>
          <w:rFonts w:ascii="Times New Roman;Times;serif" w:hAnsi="Times New Roman;Times;serif"/>
          <w:color w:val="000000"/>
          <w:sz w:val="20"/>
        </w:rPr>
        <w:t>” means (i) any information which would qualify as “personally identifying information,” “personal data,” or any similar term as defined by Privacy Laws; and (ii) any other piece of information that can reasonably identify a natural person. During the last three (3) years, (x) no disclosures made or contained in any of the Policies have been materially inaccurate, misleading, or deceptive in material violation of any Privacy Laws, and (y) to the knowledge of the Company, the execution, delivery and performance of the Transaction Documents will not result in a material breach of any Privacy Laws or Policies. During the last three (3) years, neither the Company nor the Subsidiaries (A) to the knowledge of the Company, has received written notice of liability of the Company or the Subsidiaries under, or violation by the Company or the Subsidiaries of, any of the Privacy Laws; or (B) is a party to any binding order, decree, or agreement by or with any court or arbitrator or governmental or regulatory authority that imposed any obligation or liability under any Privacy Law.</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(ii)        </w:t>
      </w:r>
      <w:r>
        <w:rPr>
          <w:rFonts w:ascii="Times New Roman;Times;serif" w:hAnsi="Times New Roman;Times;serif"/>
          <w:color w:val="000000"/>
          <w:sz w:val="20"/>
          <w:u w:val="single"/>
        </w:rPr>
        <w:t>Equity Incentive Plans</w:t>
      </w:r>
      <w:r>
        <w:rPr>
          <w:rFonts w:ascii="Times New Roman;Times;serif" w:hAnsi="Times New Roman;Times;serif"/>
          <w:color w:val="000000"/>
          <w:sz w:val="20"/>
        </w:rPr>
        <w:t>. Each stock option granted by the Company under the Company’s equity incentive plans was granted (i) in accordance with the terms of the Company’s equity incentive plans and (ii) with an exercise price at least equal to the fair market value of the Common Stock on the date such stock option would be considered granted under GAAP and applicable law. No stock option granted under the Company’s equity incentive plans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(jj)        </w:t>
      </w:r>
      <w:r>
        <w:rPr>
          <w:rFonts w:ascii="Times New Roman;Times;serif" w:hAnsi="Times New Roman;Times;serif"/>
          <w:color w:val="000000"/>
          <w:sz w:val="20"/>
          <w:u w:val="single"/>
        </w:rPr>
        <w:t>Office of Foreign Assets Control</w:t>
      </w:r>
      <w:r>
        <w:rPr>
          <w:rFonts w:ascii="Times New Roman;Times;serif" w:hAnsi="Times New Roman;Times;serif"/>
          <w:color w:val="000000"/>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color w:val="000000"/>
          <w:sz w:val="20"/>
          <w:u w:val="single"/>
        </w:rPr>
        <w:t>OFAC</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(kk)       </w:t>
      </w:r>
      <w:r>
        <w:rPr>
          <w:rFonts w:ascii="Times New Roman;Times;serif" w:hAnsi="Times New Roman;Times;serif"/>
          <w:color w:val="000000"/>
          <w:sz w:val="20"/>
          <w:u w:val="single"/>
        </w:rPr>
        <w:t>U.S. Real Property Holding Corporation.</w:t>
      </w:r>
      <w:r>
        <w:rPr>
          <w:rFonts w:ascii="Times New Roman;Times;serif" w:hAnsi="Times New Roman;Times;serif"/>
          <w:color w:val="000000"/>
          <w:sz w:val="20"/>
        </w:rPr>
        <w:t>  As of the date of this Agreement, the Company is not and has not been during the 5-year period ending on the date of this Agreement, a “U.S. real property holding corporation” within the meaning of Section 897 of the Internal Revenue Code of 1986, as amended.</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(ll)         </w:t>
      </w:r>
      <w:r>
        <w:rPr>
          <w:rFonts w:ascii="Times New Roman;Times;serif" w:hAnsi="Times New Roman;Times;serif"/>
          <w:color w:val="000000"/>
          <w:sz w:val="20"/>
          <w:u w:val="single"/>
        </w:rPr>
        <w:t>Bank Holding Company Act</w:t>
      </w:r>
      <w:r>
        <w:rPr>
          <w:rFonts w:ascii="Times New Roman;Times;serif" w:hAnsi="Times New Roman;Times;serif"/>
          <w:color w:val="000000"/>
          <w:sz w:val="20"/>
        </w:rPr>
        <w:t>.  Neither the Company nor any of its Subsidiaries or Affiliates is subject to the Bank Holding Company Act of 1956, as amended (the “</w:t>
      </w:r>
      <w:r>
        <w:rPr>
          <w:rFonts w:ascii="Times New Roman;Times;serif" w:hAnsi="Times New Roman;Times;serif"/>
          <w:color w:val="000000"/>
          <w:sz w:val="20"/>
          <w:u w:val="single"/>
        </w:rPr>
        <w:t>BHCA</w:t>
      </w:r>
      <w:r>
        <w:rPr>
          <w:rFonts w:ascii="Times New Roman;Times;serif" w:hAnsi="Times New Roman;Times;serif"/>
          <w:color w:val="000000"/>
          <w:sz w:val="20"/>
        </w:rPr>
        <w:t>”) and to regulation by the Board of Governors of the Federal Reserve System (the “</w:t>
      </w:r>
      <w:r>
        <w:rPr>
          <w:rFonts w:ascii="Times New Roman;Times;serif" w:hAnsi="Times New Roman;Times;serif"/>
          <w:color w:val="000000"/>
          <w:sz w:val="20"/>
          <w:u w:val="single"/>
        </w:rPr>
        <w:t>Federal Reserve</w:t>
      </w:r>
      <w:r>
        <w:rPr>
          <w:rFonts w:ascii="Times New Roman;Times;serif" w:hAnsi="Times New Roman;Times;serif"/>
          <w:color w:val="000000"/>
          <w:sz w:val="20"/>
        </w:rPr>
        <w:t>”).  Neither the Company nor any of its Subsidiaries or Affiliates owns or controls, directly or indirectly, five percent (5%) or more of the outstanding shares of any class of voting securities or twenty-five (25%)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(mm)    </w:t>
      </w:r>
      <w:r>
        <w:rPr>
          <w:rFonts w:ascii="Times New Roman;Times;serif" w:hAnsi="Times New Roman;Times;serif"/>
          <w:color w:val="000000"/>
          <w:sz w:val="20"/>
          <w:u w:val="single"/>
        </w:rPr>
        <w:t>Money Laundering</w:t>
      </w:r>
      <w:r>
        <w:rPr>
          <w:rFonts w:ascii="Times New Roman;Times;serif" w:hAnsi="Times New Roman;Times;serif"/>
          <w:color w:val="000000"/>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color w:val="000000"/>
          <w:sz w:val="20"/>
          <w:u w:val="single"/>
        </w:rPr>
        <w:t>Money Laundering Laws</w:t>
      </w:r>
      <w:r>
        <w:rPr>
          <w:rFonts w:ascii="Times New Roman;Times;serif" w:hAnsi="Times New Roman;Times;serif"/>
          <w:color w:val="000000"/>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3.2          </w:t>
      </w:r>
      <w:r>
        <w:rPr>
          <w:rFonts w:ascii="Times New Roman;Times;serif" w:hAnsi="Times New Roman;Times;serif"/>
          <w:color w:val="000000"/>
          <w:sz w:val="20"/>
          <w:u w:val="single"/>
        </w:rPr>
        <w:t>Representations and Warranties of the Purchasers</w:t>
      </w:r>
      <w:r>
        <w:rPr>
          <w:rFonts w:ascii="Times New Roman;Times;serif" w:hAnsi="Times New Roman;Times;serif"/>
          <w:color w:val="000000"/>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540" w:right="0" w:firstLine="9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Organization; Authority</w:t>
      </w:r>
      <w:r>
        <w:rPr>
          <w:rFonts w:ascii="Times New Roman;Times;serif" w:hAnsi="Times New Roman;Times;serif"/>
          <w:color w:val="000000"/>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jc w:val="left"/>
        <w:rPr/>
      </w:pPr>
      <w:r>
        <w:rPr/>
      </w:r>
    </w:p>
    <w:p>
      <w:pPr>
        <w:pStyle w:val="TextBody"/>
        <w:bidi w:val="0"/>
        <w:spacing w:before="0" w:after="0"/>
        <w:ind w:left="540" w:right="0" w:firstLine="900"/>
        <w:jc w:val="both"/>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Understandings or Arrangements</w:t>
      </w:r>
      <w:r>
        <w:rPr>
          <w:rFonts w:ascii="Times New Roman;Times;serif" w:hAnsi="Times New Roman;Times;serif"/>
          <w:color w:val="000000"/>
          <w:sz w:val="20"/>
        </w:rPr>
        <w:t>.  Such Purchaser is acquiring the Securities as principal for its own account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pStyle w:val="TextBody"/>
        <w:bidi w:val="0"/>
        <w:spacing w:before="0" w:after="0"/>
        <w:jc w:val="left"/>
        <w:rPr/>
      </w:pPr>
      <w:r>
        <w:rPr/>
      </w:r>
    </w:p>
    <w:p>
      <w:pPr>
        <w:pStyle w:val="TextBody"/>
        <w:bidi w:val="0"/>
        <w:spacing w:before="0" w:after="0"/>
        <w:ind w:left="420" w:right="0" w:firstLine="1020"/>
        <w:jc w:val="both"/>
        <w:rPr>
          <w:rFonts w:ascii="Times New Roman;Times;serif" w:hAnsi="Times New Roman;Times;serif"/>
          <w:color w:val="000000"/>
          <w:sz w:val="20"/>
        </w:rPr>
      </w:pPr>
      <w:r>
        <w:rPr>
          <w:rFonts w:ascii="Times New Roman;Times;serif" w:hAnsi="Times New Roman;Times;serif"/>
          <w:color w:val="000000"/>
          <w:sz w:val="20"/>
        </w:rPr>
        <w:t xml:space="preserve">(c)        </w:t>
      </w:r>
      <w:r>
        <w:rPr>
          <w:rFonts w:ascii="Times New Roman;Times;serif" w:hAnsi="Times New Roman;Times;serif"/>
          <w:color w:val="000000"/>
          <w:sz w:val="20"/>
          <w:u w:val="single"/>
        </w:rPr>
        <w:t>Purchaser Status</w:t>
      </w:r>
      <w:r>
        <w:rPr>
          <w:rFonts w:ascii="Times New Roman;Times;serif" w:hAnsi="Times New Roman;Times;serif"/>
          <w:color w:val="000000"/>
          <w:sz w:val="20"/>
        </w:rPr>
        <w:t>.  At the time such Purchaser was offered the Securities, it was, and as of the date hereof it is, and, unless there is an effective registration statement to cover the issuance or resale of the Warrant Shares if all or any portion of a Warrant is exercised other than via cashless exercise, on each date on which it exercises any Warrants, it will either be an “accredited investor” as defined in Rule 501(a)(1), (a)(2), (a)(3), (a)(7), (a)(8), (a)(9), (a)(12), or (a)(13) under the Securities Act, or a “qualified institutional buyer” as defined in Rule 144(a) of under the Securities Act.</w:t>
      </w:r>
    </w:p>
    <w:p>
      <w:pPr>
        <w:pStyle w:val="TextBody"/>
        <w:bidi w:val="0"/>
        <w:spacing w:before="0" w:after="0"/>
        <w:jc w:val="left"/>
        <w:rPr/>
      </w:pPr>
      <w:r>
        <w:rPr/>
      </w:r>
    </w:p>
    <w:p>
      <w:pPr>
        <w:pStyle w:val="TextBody"/>
        <w:bidi w:val="0"/>
        <w:spacing w:before="0" w:after="0"/>
        <w:ind w:left="420" w:right="0" w:firstLine="1020"/>
        <w:jc w:val="both"/>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color w:val="000000"/>
          <w:sz w:val="20"/>
          <w:u w:val="single"/>
        </w:rPr>
        <w:t>Experience of Such Purchaser</w:t>
      </w:r>
      <w:r>
        <w:rPr>
          <w:rFonts w:ascii="Times New Roman;Times;serif" w:hAnsi="Times New Roman;Times;serif"/>
          <w:color w:val="000000"/>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jc w:val="left"/>
        <w:rPr/>
      </w:pPr>
      <w:r>
        <w:rPr/>
      </w:r>
    </w:p>
    <w:p>
      <w:pPr>
        <w:pStyle w:val="TextBody"/>
        <w:bidi w:val="0"/>
        <w:spacing w:before="0" w:after="0"/>
        <w:ind w:left="420" w:right="0" w:firstLine="1020"/>
        <w:jc w:val="both"/>
        <w:rPr>
          <w:rFonts w:ascii="Times New Roman;Times;serif" w:hAnsi="Times New Roman;Times;serif"/>
          <w:color w:val="000000"/>
          <w:sz w:val="20"/>
        </w:rPr>
      </w:pPr>
      <w:r>
        <w:rPr>
          <w:rFonts w:ascii="Times New Roman;Times;serif" w:hAnsi="Times New Roman;Times;serif"/>
          <w:color w:val="000000"/>
          <w:sz w:val="20"/>
        </w:rPr>
        <w:t xml:space="preserve">(e)        </w:t>
      </w:r>
      <w:r>
        <w:rPr>
          <w:rFonts w:ascii="Times New Roman;Times;serif" w:hAnsi="Times New Roman;Times;serif"/>
          <w:color w:val="000000"/>
          <w:sz w:val="20"/>
          <w:u w:val="single"/>
        </w:rPr>
        <w:t>Access to Information</w:t>
      </w:r>
      <w:r>
        <w:rPr>
          <w:rFonts w:ascii="Times New Roman;Times;serif" w:hAnsi="Times New Roman;Times;serif"/>
          <w:color w:val="000000"/>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420" w:right="0" w:firstLine="1020"/>
        <w:jc w:val="both"/>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color w:val="000000"/>
          <w:sz w:val="20"/>
          <w:u w:val="single"/>
        </w:rPr>
        <w:t>Certain Transactions and Confidentiality</w:t>
      </w:r>
      <w:r>
        <w:rPr>
          <w:rFonts w:ascii="Times New Roman;Times;serif" w:hAnsi="Times New Roman;Times;serif"/>
          <w:color w:val="000000"/>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IV.</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OTHER AGREEMENTS OF THE PARTIES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4.1         </w:t>
      </w:r>
      <w:r>
        <w:rPr>
          <w:rFonts w:ascii="Times New Roman;Times;serif" w:hAnsi="Times New Roman;Times;serif"/>
          <w:color w:val="000000"/>
          <w:sz w:val="20"/>
          <w:u w:val="single"/>
        </w:rPr>
        <w:t>Securities</w:t>
      </w:r>
      <w:r>
        <w:rPr>
          <w:rFonts w:ascii="Times New Roman;Times;serif" w:hAnsi="Times New Roman;Times;serif"/>
          <w:color w:val="000000"/>
          <w:sz w:val="20"/>
        </w:rPr>
        <w:t>.  The Shares, the Warrants and, if all or any portion of a Warrant is exercised at a time when there is an effective registration statement to cover the issuance or resale of the Warrant Shares or if the Warrant is exercised via cashless exercise, the Warrant Shares issued pursuant to any such exercise, shall be issued free of all restrictive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reasonable best efforts to keep a registration statement (including the Registration Statement) registering the issuance or resale of the Warrant Shares effective during the term of the Warrants.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4.2          </w:t>
      </w:r>
      <w:r>
        <w:rPr>
          <w:rFonts w:ascii="Times New Roman;Times;serif" w:hAnsi="Times New Roman;Times;serif"/>
          <w:color w:val="000000"/>
          <w:sz w:val="20"/>
          <w:u w:val="single"/>
        </w:rPr>
        <w:t>Furnishing of Information</w:t>
      </w:r>
      <w:r>
        <w:rPr>
          <w:rFonts w:ascii="Times New Roman;Times;serif" w:hAnsi="Times New Roman;Times;serif"/>
          <w:color w:val="000000"/>
          <w:sz w:val="20"/>
        </w:rPr>
        <w:t>.  Until the earliest of the time that (i) no Purchaser owns Securities or (ii) the Common Warrants have expired, the Company covenants to maintain the registration of the Common Stock under Section 12(b) or 12(g) of the Exchange Act and to use its reasonable best efforts to timely file (or obtain extensions in respect thereof and file within the applicable grace period) all reports required to be filed by the Company after the date hereof pursuant to the Exchange Act.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4.3         </w:t>
      </w:r>
      <w:r>
        <w:rPr>
          <w:rFonts w:ascii="Times New Roman;Times;serif" w:hAnsi="Times New Roman;Times;serif"/>
          <w:color w:val="000000"/>
          <w:sz w:val="20"/>
          <w:u w:val="single"/>
        </w:rPr>
        <w:t>Integration</w:t>
      </w:r>
      <w:r>
        <w:rPr>
          <w:rFonts w:ascii="Times New Roman;Times;serif" w:hAnsi="Times New Roman;Times;serif"/>
          <w:color w:val="000000"/>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4.4        </w:t>
      </w:r>
      <w:r>
        <w:rPr>
          <w:rFonts w:ascii="Times New Roman;Times;serif" w:hAnsi="Times New Roman;Times;serif"/>
          <w:color w:val="000000"/>
          <w:sz w:val="20"/>
          <w:u w:val="single"/>
        </w:rPr>
        <w:t>Securities Laws Disclosure; Publicity</w:t>
      </w:r>
      <w:r>
        <w:rPr>
          <w:rFonts w:ascii="Times New Roman;Times;serif" w:hAnsi="Times New Roman;Times;serif"/>
          <w:color w:val="000000"/>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with respect to the transactions contemplated by the Transaction Documents,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4.5        </w:t>
      </w:r>
      <w:r>
        <w:rPr>
          <w:rFonts w:ascii="Times New Roman;Times;serif" w:hAnsi="Times New Roman;Times;serif"/>
          <w:color w:val="000000"/>
          <w:sz w:val="20"/>
          <w:u w:val="single"/>
        </w:rPr>
        <w:t>Shareholder Rights Plan</w:t>
      </w:r>
      <w:r>
        <w:rPr>
          <w:rFonts w:ascii="Times New Roman;Times;serif" w:hAnsi="Times New Roman;Times;serif"/>
          <w:color w:val="000000"/>
          <w:sz w:val="20"/>
        </w:rPr>
        <w:t>.  No claim will be made or enforced by the Company or, with the consent of the Company, any other Person, that any Purchaser is an “</w:t>
      </w:r>
      <w:r>
        <w:rPr>
          <w:rFonts w:ascii="Times New Roman;Times;serif" w:hAnsi="Times New Roman;Times;serif"/>
          <w:color w:val="000000"/>
          <w:sz w:val="20"/>
          <w:u w:val="single"/>
        </w:rPr>
        <w:t>Acquiring Person</w:t>
      </w:r>
      <w:r>
        <w:rPr>
          <w:rFonts w:ascii="Times New Roman;Times;serif" w:hAnsi="Times New Roman;Times;serif"/>
          <w:color w:val="000000"/>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4.6        </w:t>
      </w:r>
      <w:r>
        <w:rPr>
          <w:rFonts w:ascii="Times New Roman;Times;serif" w:hAnsi="Times New Roman;Times;serif"/>
          <w:color w:val="000000"/>
          <w:sz w:val="20"/>
          <w:u w:val="single"/>
        </w:rPr>
        <w:t>Non-Public Information</w:t>
      </w:r>
      <w:r>
        <w:rPr>
          <w:rFonts w:ascii="Times New Roman;Times;serif" w:hAnsi="Times New Roman;Times;serif"/>
          <w:color w:val="000000"/>
          <w:sz w:val="20"/>
        </w:rPr>
        <w:t>.   Except with respect to the material terms and conditions of the transactions contemplated by the Transaction Documents and any additional material, non-public information that is contained in the Transaction Documents or contained in or incorporated by reference into the Prospectus, all of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Any Purchaser may deliver written notice (an “</w:t>
      </w:r>
      <w:r>
        <w:rPr>
          <w:rFonts w:ascii="Times New Roman;Times;serif" w:hAnsi="Times New Roman;Times;serif"/>
          <w:color w:val="000000"/>
          <w:sz w:val="20"/>
          <w:u w:val="single"/>
        </w:rPr>
        <w:t>Opt-Out Notice</w:t>
      </w:r>
      <w:r>
        <w:rPr>
          <w:rFonts w:ascii="Times New Roman;Times;serif" w:hAnsi="Times New Roman;Times;serif"/>
          <w:color w:val="000000"/>
          <w:sz w:val="20"/>
        </w:rPr>
        <w:t>”) to the Company requesting that such Purchaser not receive notices from the Company otherwise required pursuant to the Transaction Documents; provided, however, that such Purchaser may later revoke any such Opt-Out Notice in writing.  Following receipt of an Opt-Out Notice from a Purchaser (unless and until subsequently revoked), the Company shall not deliver any such notices to such Purchaser and such Purchaser shall no longer be entitled to the rights associated with any such notice.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4.7        </w:t>
      </w:r>
      <w:r>
        <w:rPr>
          <w:rFonts w:ascii="Times New Roman;Times;serif" w:hAnsi="Times New Roman;Times;serif"/>
          <w:color w:val="000000"/>
          <w:sz w:val="20"/>
          <w:u w:val="single"/>
        </w:rPr>
        <w:t>Use of Proceeds</w:t>
      </w:r>
      <w:r>
        <w:rPr>
          <w:rFonts w:ascii="Times New Roman;Times;serif" w:hAnsi="Times New Roman;Times;serif"/>
          <w:color w:val="000000"/>
          <w:sz w:val="20"/>
        </w:rPr>
        <w:t>.  The Company shall use the net proceeds from the sale of the Securities hereunder as set forth in the Prospectus Supplement and shall not use such proceeds in violation of FCPA or OFAC regulations.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4.8        </w:t>
      </w:r>
      <w:r>
        <w:rPr>
          <w:rFonts w:ascii="Times New Roman;Times;serif" w:hAnsi="Times New Roman;Times;serif"/>
          <w:color w:val="000000"/>
          <w:sz w:val="20"/>
          <w:u w:val="single"/>
        </w:rPr>
        <w:t>Indemnification of Purchasers</w:t>
      </w:r>
      <w:r>
        <w:rPr>
          <w:rFonts w:ascii="Times New Roman;Times;serif" w:hAnsi="Times New Roman;Times;serif"/>
          <w:color w:val="000000"/>
          <w:sz w:val="20"/>
        </w:rPr>
        <w:t>.   Subject to the provisions of this Section 4.8, the Company will indemnify, to the fullest extent permitted by applicable law, and hold each Purchaser and its directors, officers, shareholders, members, partners, investment managers,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members, partners, investment managers, employees or agents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and (c) in connection with any registration statement of the Company providing for the resale by the Purchasers of the Warrant Shares issued and issuable upon exercise of the Warrants,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applicable state or non-U.S.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reasonably acceptable to the Purchaser Party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 any Purchaser Party’s breach of any such Purchaser Party’s representations, warranties or covenants under the Transaction Documents, or (B) any conduct by a Purchaser Party which constitutes gross negligence or willful misconduct, in each case, as determined by a final, non-appealable judgment of a court of competent jurisdiction.  The Company shall not, without the prior written consent of the Purchaser Party, effect any settlement of any pending or threatened action or proceeding in respect of which any Purchaser Party is or could have been a party and indemnity could have been sought hereunder by such Purchaser Party, unless such settlement includes an unconditional release of such Purchaser Party from all liability on claims that are the subject matter of such proceeding and does not include any statements as to or any findings of fault, culpability or failure to act by or on behalf of any such Purchaser Party.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4.9        </w:t>
      </w:r>
      <w:r>
        <w:rPr>
          <w:rFonts w:ascii="Times New Roman;Times;serif" w:hAnsi="Times New Roman;Times;serif"/>
          <w:color w:val="000000"/>
          <w:sz w:val="20"/>
          <w:u w:val="single"/>
        </w:rPr>
        <w:t>Reservation of Common Stock</w:t>
      </w:r>
      <w:r>
        <w:rPr>
          <w:rFonts w:ascii="Times New Roman;Times;serif" w:hAnsi="Times New Roman;Times;serif"/>
          <w:color w:val="000000"/>
          <w:sz w:val="20"/>
        </w:rPr>
        <w:t>. As of the Closing Date, the Company will have reserved and the Company shall continue to reserve and keep available at all times, free of preemptive rights, a sufficient number of shares of Common Stock for the purpose of enabling the Company to issue Warrant Shares pursuant to any exercise of the Warrants.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4.10       </w:t>
      </w:r>
      <w:r>
        <w:rPr>
          <w:rFonts w:ascii="Times New Roman;Times;serif" w:hAnsi="Times New Roman;Times;serif"/>
          <w:color w:val="000000"/>
          <w:sz w:val="20"/>
          <w:u w:val="single"/>
        </w:rPr>
        <w:t>Listing of Common Stock</w:t>
      </w:r>
      <w:r>
        <w:rPr>
          <w:rFonts w:ascii="Times New Roman;Times;serif" w:hAnsi="Times New Roman;Times;serif"/>
          <w:color w:val="000000"/>
          <w:sz w:val="20"/>
        </w:rPr>
        <w:t>. The Company hereby agrees to use commercially reasonable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For so long as the Common Stock is listed on a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4.11       </w:t>
      </w:r>
      <w:r>
        <w:rPr>
          <w:rFonts w:ascii="Times New Roman;Times;serif" w:hAnsi="Times New Roman;Times;serif"/>
          <w:color w:val="000000"/>
          <w:sz w:val="20"/>
          <w:u w:val="single"/>
        </w:rPr>
        <w:t>Subsequent Equity Sales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From the date hereof until ninety (90) days after the Closing Date, neither the Company nor any Subsidiary shall (i) issue, enter into any agreement to issue or announce the issuance or proposed issuance of any Common Stock or Common Stock Equivalents or (ii) file any registration statement or any amendment or supplement thereto other than a registration statement on Form S-8 in connection with any equity compensation plans, in each case other than as contemplated by this Agreement.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From the date hereof until one hundred and eighty (180) days after the Closing Date, the Company shall be prohibited from effecting or entering into an agreement to effect any issuance by the Company or any of its Subsidiaries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w:t>
      </w:r>
    </w:p>
    <w:p>
      <w:pPr>
        <w:pStyle w:val="TextBody"/>
        <w:bidi w:val="0"/>
        <w:spacing w:before="0" w:after="0"/>
        <w:jc w:val="left"/>
        <w:rPr/>
      </w:pPr>
      <w:r>
        <w:rPr/>
      </w:r>
    </w:p>
    <w:p>
      <w:pPr>
        <w:pStyle w:val="TextBody"/>
        <w:bidi w:val="0"/>
        <w:spacing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Notwithstanding the foregoing, this Section 4.11 shall not apply in respect of an Exempt Issuance, except that no Variable Rate Transaction  shall be an Exempt Issuance (except as specified in clause (e) of the definition thereof).</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4.12       </w:t>
      </w:r>
      <w:r>
        <w:rPr>
          <w:rFonts w:ascii="Times New Roman;Times;serif" w:hAnsi="Times New Roman;Times;serif"/>
          <w:color w:val="000000"/>
          <w:sz w:val="20"/>
          <w:u w:val="single"/>
        </w:rPr>
        <w:t>[Reserved]</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4.13      </w:t>
      </w:r>
      <w:r>
        <w:rPr>
          <w:rFonts w:ascii="Times New Roman;Times;serif" w:hAnsi="Times New Roman;Times;serif"/>
          <w:color w:val="000000"/>
          <w:sz w:val="20"/>
          <w:u w:val="single"/>
        </w:rPr>
        <w:t>Equal Treatment of Purchasers</w:t>
      </w:r>
      <w:r>
        <w:rPr>
          <w:rFonts w:ascii="Times New Roman;Times;serif" w:hAnsi="Times New Roman;Times;serif"/>
          <w:color w:val="000000"/>
          <w:sz w:val="20"/>
        </w:rPr>
        <w:t>.  No consideration (including any modification of the Transaction Documents)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4.14      </w:t>
      </w:r>
      <w:r>
        <w:rPr>
          <w:rFonts w:ascii="Times New Roman;Times;serif" w:hAnsi="Times New Roman;Times;serif"/>
          <w:color w:val="000000"/>
          <w:sz w:val="20"/>
          <w:u w:val="single"/>
        </w:rPr>
        <w:t>Certain Transactions and Confidentiality</w:t>
      </w:r>
      <w:r>
        <w:rPr>
          <w:rFonts w:ascii="Times New Roman;Times;serif" w:hAnsi="Times New Roman;Times;serif"/>
          <w:color w:val="000000"/>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4.15       </w:t>
      </w:r>
      <w:r>
        <w:rPr>
          <w:rFonts w:ascii="Times New Roman;Times;serif" w:hAnsi="Times New Roman;Times;serif"/>
          <w:color w:val="000000"/>
          <w:sz w:val="20"/>
          <w:u w:val="single"/>
        </w:rPr>
        <w:t>Exercise Procedures</w:t>
      </w:r>
      <w:r>
        <w:rPr>
          <w:rFonts w:ascii="Times New Roman;Times;serif" w:hAnsi="Times New Roman;Times;serif"/>
          <w:color w:val="000000"/>
          <w:sz w:val="20"/>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4.16       </w:t>
      </w:r>
      <w:r>
        <w:rPr>
          <w:rFonts w:ascii="Times New Roman;Times;serif" w:hAnsi="Times New Roman;Times;serif"/>
          <w:color w:val="000000"/>
          <w:sz w:val="20"/>
          <w:u w:val="single"/>
        </w:rPr>
        <w:t>Lock-Up Agreements</w:t>
      </w:r>
      <w:r>
        <w:rPr>
          <w:rFonts w:ascii="Times New Roman;Times;serif" w:hAnsi="Times New Roman;Times;serif"/>
          <w:color w:val="000000"/>
          <w:sz w:val="20"/>
        </w:rPr>
        <w:t>. The Company shall not amend, modify, waive or terminate any provision of any of the Lock-Up Agreements (or any substantially similar lock-up agreements signed by transferees of the initial parties to the Lock-Up Agreements) except to extend the term of the lock-up period and shall enforce the provisions of each Lock-Up Agreement (or any substantially similar lock-up agreements signed by transferees of the initial parties to the Lock-Up Agreements) in accordance with its terms. If any party to a Lock-Up Agreement (or any substantially similar lock-up agreements signed by transferees of the initial parties to the Lock-Up Agreements) breaches any provision of such agreement, the Company shall promptly use its reasonable best efforts to seek specific performance of the terms of such agreement</w:t>
      </w:r>
      <w:r>
        <w:rPr>
          <w:rFonts w:ascii="Times New Roman;Times;serif" w:hAnsi="Times New Roman;Times;serif"/>
          <w:color w:val="000000"/>
          <w:sz w:val="20"/>
          <w:u w:val="single"/>
        </w:rPr>
        <w: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ARTICLE V.</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MISCELLANEOUS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no such termination will affect the right of any party to sue for any breach by any other party (or parties).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5.2        </w:t>
      </w:r>
      <w:r>
        <w:rPr>
          <w:rFonts w:ascii="Times New Roman;Times;serif" w:hAnsi="Times New Roman;Times;serif"/>
          <w:color w:val="000000"/>
          <w:sz w:val="20"/>
          <w:u w:val="single"/>
        </w:rPr>
        <w:t>Fees and Expenses</w:t>
      </w:r>
      <w:r>
        <w:rPr>
          <w:rFonts w:ascii="Times New Roman;Times;serif" w:hAnsi="Times New Roman;Times;serif"/>
          <w:color w:val="000000"/>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5.3         </w:t>
      </w:r>
      <w:r>
        <w:rPr>
          <w:rFonts w:ascii="Times New Roman;Times;serif" w:hAnsi="Times New Roman;Times;serif"/>
          <w:color w:val="000000"/>
          <w:sz w:val="20"/>
          <w:u w:val="single"/>
        </w:rPr>
        <w:t>Entire Agreement</w:t>
      </w:r>
      <w:r>
        <w:rPr>
          <w:rFonts w:ascii="Times New Roman;Times;serif" w:hAnsi="Times New Roman;Times;serif"/>
          <w:color w:val="000000"/>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5.4         </w:t>
      </w:r>
      <w:r>
        <w:rPr>
          <w:rFonts w:ascii="Times New Roman;Times;serif" w:hAnsi="Times New Roman;Times;serif"/>
          <w:color w:val="000000"/>
          <w:sz w:val="20"/>
          <w:u w:val="single"/>
        </w:rPr>
        <w:t xml:space="preserve">Notices. </w:t>
      </w:r>
      <w:r>
        <w:rPr>
          <w:rFonts w:ascii="Times New Roman;Times;serif" w:hAnsi="Times New Roman;Times;serif"/>
          <w:color w:val="000000"/>
          <w:sz w:val="20"/>
        </w:rPr>
        <w:t>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5.5        </w:t>
      </w:r>
      <w:r>
        <w:rPr>
          <w:rFonts w:ascii="Times New Roman;Times;serif" w:hAnsi="Times New Roman;Times;serif"/>
          <w:color w:val="000000"/>
          <w:sz w:val="20"/>
          <w:u w:val="single"/>
        </w:rPr>
        <w:t>Amendments; Waivers</w:t>
      </w:r>
      <w:r>
        <w:rPr>
          <w:rFonts w:ascii="Times New Roman;Times;serif" w:hAnsi="Times New Roman;Times;serif"/>
          <w:color w:val="000000"/>
          <w:sz w:val="20"/>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5.6       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herein are for convenience only, do not constitute a part of this Agreement and shall not be deemed to limit or affect any of the provisions hereof.</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5.7        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5.8         </w:t>
      </w:r>
      <w:r>
        <w:rPr>
          <w:rFonts w:ascii="Times New Roman;Times;serif" w:hAnsi="Times New Roman;Times;serif"/>
          <w:color w:val="000000"/>
          <w:sz w:val="20"/>
          <w:u w:val="single"/>
        </w:rPr>
        <w:t>No Third-Party Beneficiaries</w:t>
      </w:r>
      <w:r>
        <w:rPr>
          <w:rFonts w:ascii="Times New Roman;Times;serif" w:hAnsi="Times New Roman;Times;serif"/>
          <w:color w:val="000000"/>
          <w:sz w:val="20"/>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5.9         </w:t>
      </w:r>
      <w:r>
        <w:rPr>
          <w:rFonts w:ascii="Times New Roman;Times;serif" w:hAnsi="Times New Roman;Times;serif"/>
          <w:color w:val="000000"/>
          <w:sz w:val="20"/>
          <w:u w:val="single"/>
        </w:rPr>
        <w:t>Governing Law</w:t>
      </w:r>
      <w:r>
        <w:rPr>
          <w:rFonts w:ascii="Times New Roman;Times;serif" w:hAnsi="Times New Roman;Times;serif"/>
          <w:color w:val="000000"/>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5.10       </w:t>
      </w:r>
      <w:r>
        <w:rPr>
          <w:rFonts w:ascii="Times New Roman;Times;serif" w:hAnsi="Times New Roman;Times;serif"/>
          <w:color w:val="000000"/>
          <w:sz w:val="20"/>
          <w:u w:val="single"/>
        </w:rPr>
        <w:t>Survival</w:t>
      </w:r>
      <w:r>
        <w:rPr>
          <w:rFonts w:ascii="Times New Roman;Times;serif" w:hAnsi="Times New Roman;Times;serif"/>
          <w:color w:val="000000"/>
          <w:sz w:val="20"/>
        </w:rPr>
        <w:t>.  The representations and warranties contained herein shall survive the Closing and the delivery of the Securities.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5.11       </w:t>
      </w:r>
      <w:r>
        <w:rPr>
          <w:rFonts w:ascii="Times New Roman;Times;serif" w:hAnsi="Times New Roman;Times;serif"/>
          <w:color w:val="000000"/>
          <w:sz w:val="20"/>
          <w:u w:val="single"/>
        </w:rPr>
        <w:t>Execution</w:t>
      </w:r>
      <w:r>
        <w:rPr>
          <w:rFonts w:ascii="Times New Roman;Times;serif" w:hAnsi="Times New Roman;Times;serif"/>
          <w:color w:val="000000"/>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5.12       </w:t>
      </w:r>
      <w:r>
        <w:rPr>
          <w:rFonts w:ascii="Times New Roman;Times;serif" w:hAnsi="Times New Roman;Times;serif"/>
          <w:color w:val="000000"/>
          <w:sz w:val="20"/>
          <w:u w:val="single"/>
        </w:rPr>
        <w:t>Severability</w:t>
      </w:r>
      <w:r>
        <w:rPr>
          <w:rFonts w:ascii="Times New Roman;Times;serif" w:hAnsi="Times New Roman;Times;serif"/>
          <w:color w:val="000000"/>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5.13       </w:t>
      </w:r>
      <w:r>
        <w:rPr>
          <w:rFonts w:ascii="Times New Roman;Times;serif" w:hAnsi="Times New Roman;Times;serif"/>
          <w:color w:val="000000"/>
          <w:sz w:val="20"/>
          <w:u w:val="single"/>
        </w:rPr>
        <w:t>Rescission and Withdrawal Right</w:t>
      </w:r>
      <w:r>
        <w:rPr>
          <w:rFonts w:ascii="Times New Roman;Times;serif" w:hAnsi="Times New Roman;Times;serif"/>
          <w:color w:val="000000"/>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5.14      </w:t>
      </w:r>
      <w:r>
        <w:rPr>
          <w:rFonts w:ascii="Times New Roman;Times;serif" w:hAnsi="Times New Roman;Times;serif"/>
          <w:color w:val="000000"/>
          <w:sz w:val="20"/>
          <w:u w:val="single"/>
        </w:rPr>
        <w:t>Replacement of Securities</w:t>
      </w:r>
      <w:r>
        <w:rPr>
          <w:rFonts w:ascii="Times New Roman;Times;serif" w:hAnsi="Times New Roman;Times;serif"/>
          <w:color w:val="000000"/>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5.15      </w:t>
      </w:r>
      <w:r>
        <w:rPr>
          <w:rFonts w:ascii="Times New Roman;Times;serif" w:hAnsi="Times New Roman;Times;serif"/>
          <w:color w:val="000000"/>
          <w:sz w:val="20"/>
          <w:u w:val="single"/>
        </w:rPr>
        <w:t>Remedies</w:t>
      </w:r>
      <w:r>
        <w:rPr>
          <w:rFonts w:ascii="Times New Roman;Times;serif" w:hAnsi="Times New Roman;Times;serif"/>
          <w:color w:val="000000"/>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5.16      </w:t>
      </w:r>
      <w:r>
        <w:rPr>
          <w:rFonts w:ascii="Times New Roman;Times;serif" w:hAnsi="Times New Roman;Times;serif"/>
          <w:color w:val="000000"/>
          <w:sz w:val="20"/>
          <w:u w:val="single"/>
        </w:rPr>
        <w:t>Payment Set Aside</w:t>
      </w:r>
      <w:r>
        <w:rPr>
          <w:rFonts w:ascii="Times New Roman;Times;serif" w:hAnsi="Times New Roman;Times;serif"/>
          <w:color w:val="000000"/>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5.17      </w:t>
      </w:r>
      <w:r>
        <w:rPr>
          <w:rFonts w:ascii="Times New Roman;Times;serif" w:hAnsi="Times New Roman;Times;serif"/>
          <w:color w:val="000000"/>
          <w:sz w:val="20"/>
          <w:u w:val="single"/>
        </w:rPr>
        <w:t>Independent Nature of Purchasers’ Obligations and Rights</w:t>
      </w:r>
      <w:r>
        <w:rPr>
          <w:rFonts w:ascii="Times New Roman;Times;serif" w:hAnsi="Times New Roman;Times;serif"/>
          <w:color w:val="000000"/>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5.18      </w:t>
      </w:r>
      <w:r>
        <w:rPr>
          <w:rFonts w:ascii="Times New Roman;Times;serif" w:hAnsi="Times New Roman;Times;serif"/>
          <w:color w:val="000000"/>
          <w:sz w:val="20"/>
          <w:u w:val="single"/>
        </w:rPr>
        <w:t>Liquidated Damages</w:t>
      </w:r>
      <w:r>
        <w:rPr>
          <w:rFonts w:ascii="Times New Roman;Times;serif" w:hAnsi="Times New Roman;Times;serif"/>
          <w:color w:val="000000"/>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5.19      </w:t>
      </w:r>
      <w:r>
        <w:rPr>
          <w:rFonts w:ascii="Times New Roman;Times;serif" w:hAnsi="Times New Roman;Times;serif"/>
          <w:color w:val="000000"/>
          <w:sz w:val="20"/>
          <w:u w:val="single"/>
        </w:rPr>
        <w:t>Saturdays, Sundays, Holidays, etc.</w:t>
      </w:r>
      <w:r>
        <w:rPr>
          <w:rFonts w:ascii="Times New Roman;Times;serif" w:hAnsi="Times New Roman;Times;serif"/>
          <w:color w:val="000000"/>
          <w:sz w:val="20"/>
        </w:rPr>
        <w:t>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5.20      </w:t>
      </w:r>
      <w:r>
        <w:rPr>
          <w:rFonts w:ascii="Times New Roman;Times;serif" w:hAnsi="Times New Roman;Times;serif"/>
          <w:color w:val="000000"/>
          <w:sz w:val="20"/>
          <w:u w:val="single"/>
        </w:rPr>
        <w:t>Construction</w:t>
      </w:r>
      <w:r>
        <w:rPr>
          <w:rFonts w:ascii="Times New Roman;Times;serif" w:hAnsi="Times New Roman;Times;serif"/>
          <w:color w:val="000000"/>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5.21     </w:t>
      </w:r>
      <w:r>
        <w:rPr>
          <w:rFonts w:ascii="Times New Roman;Times;serif" w:hAnsi="Times New Roman;Times;serif"/>
          <w:b/>
          <w:color w:val="000000"/>
          <w:sz w:val="20"/>
          <w:u w:val="single"/>
        </w:rPr>
        <w:t>WAIVER OF JURY TRIAL</w:t>
      </w:r>
      <w:r>
        <w:rPr>
          <w:rFonts w:ascii="Times New Roman;Times;serif" w:hAnsi="Times New Roman;Times;serif"/>
          <w:b/>
          <w:color w:val="000000"/>
          <w:sz w:val="20"/>
        </w:rPr>
        <w:t xml:space="preserve">.  </w:t>
      </w:r>
      <w:r>
        <w:rPr>
          <w:rFonts w:ascii="Times New Roman;Times;serif" w:hAnsi="Times New Roman;Times;serif"/>
          <w:b/>
          <w:color w:val="000000"/>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jc w:val="left"/>
        <w:rPr/>
      </w:pPr>
      <w:r>
        <w:rPr/>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color w:val="000000"/>
          <w:sz w:val="20"/>
        </w:rPr>
        <w:t>(Signature Pages Follow)</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5" w:name="z634876cc13df4764b2b1dec62727f9d1"/>
      <w:bookmarkStart w:id="176" w:name="z634876cc13df4764b2b1dec62727f9d1"/>
      <w:bookmarkEnd w:id="176"/>
    </w:p>
    <w:tbl>
      <w:tblPr>
        <w:tblW w:w="9054" w:type="dxa"/>
        <w:jc w:val="left"/>
        <w:tblInd w:w="0" w:type="dxa"/>
        <w:tblLayout w:type="fixed"/>
        <w:tblCellMar>
          <w:top w:w="0" w:type="dxa"/>
          <w:left w:w="0" w:type="dxa"/>
          <w:bottom w:w="0" w:type="dxa"/>
          <w:right w:w="0" w:type="dxa"/>
        </w:tblCellMar>
      </w:tblPr>
      <w:tblGrid>
        <w:gridCol w:w="1606"/>
        <w:gridCol w:w="3108"/>
        <w:gridCol w:w="60"/>
        <w:gridCol w:w="4280"/>
      </w:tblGrid>
      <w:tr>
        <w:trPr/>
        <w:tc>
          <w:tcPr>
            <w:tcW w:w="4714" w:type="dxa"/>
            <w:gridSpan w:val="2"/>
            <w:tcBorders/>
            <w:vAlign w:val="center"/>
          </w:tcPr>
          <w:p>
            <w:pPr>
              <w:pStyle w:val="TableContents"/>
              <w:bidi w:val="0"/>
              <w:spacing w:before="0" w:after="0"/>
              <w:jc w:val="left"/>
              <w:rPr>
                <w:b/>
              </w:rPr>
            </w:pPr>
            <w:r>
              <w:rPr>
                <w:b/>
              </w:rPr>
              <w:t>NEIGHBORHOOD INTELLIGENCE, INC.</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u w:val="single"/>
              </w:rPr>
            </w:pPr>
            <w:r>
              <w:rPr>
                <w:u w:val="single"/>
              </w:rPr>
              <w:t>Address for Notice:</w:t>
            </w:r>
          </w:p>
        </w:tc>
      </w:tr>
      <w:tr>
        <w:trPr/>
        <w:tc>
          <w:tcPr>
            <w:tcW w:w="47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1606" w:type="dxa"/>
            <w:vMerge w:val="restart"/>
            <w:tcBorders/>
            <w:vAlign w:val="center"/>
          </w:tcPr>
          <w:p>
            <w:pPr>
              <w:pStyle w:val="TableContents"/>
              <w:bidi w:val="0"/>
              <w:spacing w:before="0" w:after="0"/>
              <w:jc w:val="left"/>
              <w:rPr/>
            </w:pPr>
            <w:r>
              <w:rPr/>
              <w:t>By:</w:t>
            </w:r>
          </w:p>
        </w:tc>
        <w:tc>
          <w:tcPr>
            <w:tcW w:w="3108"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Neighborhood Intelligence, Inc.</w:t>
            </w:r>
          </w:p>
        </w:tc>
      </w:tr>
      <w:tr>
        <w:trPr/>
        <w:tc>
          <w:tcPr>
            <w:tcW w:w="1606" w:type="dxa"/>
            <w:vMerge w:val="continue"/>
            <w:tcBorders/>
            <w:vAlign w:val="center"/>
          </w:tcPr>
          <w:p>
            <w:pPr>
              <w:pStyle w:val="Normal"/>
              <w:bidi w:val="0"/>
              <w:jc w:val="left"/>
              <w:rPr/>
            </w:pPr>
            <w:r>
              <w:rPr/>
            </w:r>
          </w:p>
        </w:tc>
        <w:tc>
          <w:tcPr>
            <w:tcW w:w="3108" w:type="dxa"/>
            <w:tcBorders/>
            <w:vAlign w:val="center"/>
          </w:tcPr>
          <w:p>
            <w:pPr>
              <w:pStyle w:val="TableContents"/>
              <w:bidi w:val="0"/>
              <w:spacing w:before="0" w:after="0"/>
              <w:jc w:val="left"/>
              <w:rPr/>
            </w:pPr>
            <w:r>
              <w:rPr/>
              <w:t>Name: [ ● ]</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433 W. Ascension Way</w:t>
            </w:r>
          </w:p>
        </w:tc>
      </w:tr>
      <w:tr>
        <w:trPr/>
        <w:tc>
          <w:tcPr>
            <w:tcW w:w="1606" w:type="dxa"/>
            <w:vMerge w:val="continue"/>
            <w:tcBorders/>
            <w:vAlign w:val="center"/>
          </w:tcPr>
          <w:p>
            <w:pPr>
              <w:pStyle w:val="Normal"/>
              <w:bidi w:val="0"/>
              <w:jc w:val="left"/>
              <w:rPr/>
            </w:pPr>
            <w:r>
              <w:rPr/>
            </w:r>
          </w:p>
        </w:tc>
        <w:tc>
          <w:tcPr>
            <w:tcW w:w="3108" w:type="dxa"/>
            <w:tcBorders/>
            <w:vAlign w:val="center"/>
          </w:tcPr>
          <w:p>
            <w:pPr>
              <w:pStyle w:val="TableContents"/>
              <w:bidi w:val="0"/>
              <w:spacing w:before="0" w:after="0"/>
              <w:jc w:val="left"/>
              <w:rPr/>
            </w:pPr>
            <w:r>
              <w:rPr/>
              <w:t>Title:   [ ● ]</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3rd Floor</w:t>
            </w:r>
          </w:p>
        </w:tc>
      </w:tr>
      <w:tr>
        <w:trPr/>
        <w:tc>
          <w:tcPr>
            <w:tcW w:w="1606" w:type="dxa"/>
            <w:vMerge w:val="continue"/>
            <w:tcBorders/>
            <w:vAlign w:val="center"/>
          </w:tcPr>
          <w:p>
            <w:pPr>
              <w:pStyle w:val="Normal"/>
              <w:bidi w:val="0"/>
              <w:jc w:val="left"/>
              <w:rPr/>
            </w:pPr>
            <w:r>
              <w:rPr/>
            </w:r>
          </w:p>
        </w:tc>
        <w:tc>
          <w:tcPr>
            <w:tcW w:w="3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Murray, UT  84123</w:t>
            </w:r>
          </w:p>
        </w:tc>
      </w:tr>
      <w:tr>
        <w:trPr/>
        <w:tc>
          <w:tcPr>
            <w:tcW w:w="4714" w:type="dxa"/>
            <w:gridSpan w:val="2"/>
            <w:tcBorders/>
            <w:vAlign w:val="center"/>
          </w:tcPr>
          <w:p>
            <w:pPr>
              <w:pStyle w:val="TableContents"/>
              <w:bidi w:val="0"/>
              <w:spacing w:before="0" w:after="0"/>
              <w:jc w:val="left"/>
              <w:rPr/>
            </w:pPr>
            <w:r>
              <w:rPr/>
              <w:t>With a copy to (which shall not constitute notice):</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Attn: Chief Administrative and Legal Officer</w:t>
            </w:r>
          </w:p>
        </w:tc>
      </w:tr>
      <w:tr>
        <w:trPr/>
        <w:tc>
          <w:tcPr>
            <w:tcW w:w="47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E-Mail: mpeetz@beyond.com</w:t>
            </w:r>
          </w:p>
        </w:tc>
      </w:tr>
      <w:tr>
        <w:trPr/>
        <w:tc>
          <w:tcPr>
            <w:tcW w:w="4714" w:type="dxa"/>
            <w:gridSpan w:val="2"/>
            <w:tcBorders/>
            <w:vAlign w:val="center"/>
          </w:tcPr>
          <w:p>
            <w:pPr>
              <w:pStyle w:val="TableContents"/>
              <w:bidi w:val="0"/>
              <w:spacing w:before="0" w:after="0"/>
              <w:jc w:val="left"/>
              <w:rPr/>
            </w:pPr>
            <w:r>
              <w:rPr/>
              <w:t>Latham &amp; Watkins LLP</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r>
          </w:p>
        </w:tc>
      </w:tr>
      <w:tr>
        <w:trPr/>
        <w:tc>
          <w:tcPr>
            <w:tcW w:w="4714" w:type="dxa"/>
            <w:gridSpan w:val="2"/>
            <w:tcBorders/>
            <w:vAlign w:val="center"/>
          </w:tcPr>
          <w:p>
            <w:pPr>
              <w:pStyle w:val="TableContents"/>
              <w:bidi w:val="0"/>
              <w:spacing w:before="0" w:after="0"/>
              <w:jc w:val="left"/>
              <w:rPr/>
            </w:pPr>
            <w:r>
              <w:rPr/>
              <w:t>1271 Avenue of the Americas</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r>
          </w:p>
        </w:tc>
      </w:tr>
      <w:tr>
        <w:trPr/>
        <w:tc>
          <w:tcPr>
            <w:tcW w:w="4714" w:type="dxa"/>
            <w:gridSpan w:val="2"/>
            <w:tcBorders/>
            <w:vAlign w:val="center"/>
          </w:tcPr>
          <w:p>
            <w:pPr>
              <w:pStyle w:val="TableContents"/>
              <w:bidi w:val="0"/>
              <w:spacing w:before="0" w:after="0"/>
              <w:jc w:val="left"/>
              <w:rPr/>
            </w:pPr>
            <w:r>
              <w:rPr/>
              <w:t>New York, NY 10020</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4714" w:type="dxa"/>
            <w:gridSpan w:val="2"/>
            <w:tcBorders/>
            <w:vAlign w:val="center"/>
          </w:tcPr>
          <w:p>
            <w:pPr>
              <w:pStyle w:val="TableContents"/>
              <w:bidi w:val="0"/>
              <w:spacing w:before="0" w:after="0"/>
              <w:jc w:val="left"/>
              <w:rPr/>
            </w:pPr>
            <w:r>
              <w:rPr/>
              <w:t>Attn: Benjamin Cohen</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4714" w:type="dxa"/>
            <w:gridSpan w:val="2"/>
            <w:tcBorders/>
            <w:vAlign w:val="center"/>
          </w:tcPr>
          <w:p>
            <w:pPr>
              <w:pStyle w:val="TableContents"/>
              <w:bidi w:val="0"/>
              <w:spacing w:before="0" w:after="0"/>
              <w:jc w:val="left"/>
              <w:rPr/>
            </w:pPr>
            <w:r>
              <w:rPr/>
              <w:t>E-Mail: Benjamin.Cohen@lw.com</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[REMAINDER OF PAGE INTENTIONALLY LEFT BLANK</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SIGNATURE PAGE FOR PURCHASER FOLLOWS]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undersigned have caused this Securities Purchase Agreement to be duly executed by their respective authorized signatories as of the date first indicated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7" w:name="z9b97317791324655be1ec063fef92fde"/>
      <w:bookmarkStart w:id="178" w:name="z9b97317791324655be1ec063fef92fde"/>
      <w:bookmarkEnd w:id="178"/>
    </w:p>
    <w:tbl>
      <w:tblPr>
        <w:tblW w:w="1941" w:type="dxa"/>
        <w:jc w:val="left"/>
        <w:tblInd w:w="0" w:type="dxa"/>
        <w:tblLayout w:type="fixed"/>
        <w:tblCellMar>
          <w:top w:w="0" w:type="dxa"/>
          <w:left w:w="0" w:type="dxa"/>
          <w:bottom w:w="0" w:type="dxa"/>
          <w:right w:w="0" w:type="dxa"/>
        </w:tblCellMar>
      </w:tblPr>
      <w:tblGrid>
        <w:gridCol w:w="1895"/>
        <w:gridCol w:w="23"/>
        <w:gridCol w:w="23"/>
      </w:tblGrid>
      <w:tr>
        <w:trPr/>
        <w:tc>
          <w:tcPr>
            <w:tcW w:w="1895" w:type="dxa"/>
            <w:tcBorders/>
            <w:vAlign w:val="center"/>
          </w:tcPr>
          <w:p>
            <w:pPr>
              <w:pStyle w:val="TableContents"/>
              <w:bidi w:val="0"/>
              <w:spacing w:before="0" w:after="283"/>
              <w:jc w:val="left"/>
              <w:rPr/>
            </w:pPr>
            <w:r>
              <w:rPr/>
              <w:t>Name of Purchaser:</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18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179" w:name="z368a06e081544bc5b51e63bcf8a12556"/>
      <w:bookmarkStart w:id="180" w:name="z368a06e081544bc5b51e63bcf8a12556"/>
      <w:bookmarkEnd w:id="180"/>
    </w:p>
    <w:tbl>
      <w:tblPr>
        <w:tblW w:w="4641" w:type="dxa"/>
        <w:jc w:val="left"/>
        <w:tblInd w:w="0" w:type="dxa"/>
        <w:tblLayout w:type="fixed"/>
        <w:tblCellMar>
          <w:top w:w="0" w:type="dxa"/>
          <w:left w:w="0" w:type="dxa"/>
          <w:bottom w:w="0" w:type="dxa"/>
          <w:right w:w="0" w:type="dxa"/>
        </w:tblCellMar>
      </w:tblPr>
      <w:tblGrid>
        <w:gridCol w:w="4595"/>
        <w:gridCol w:w="23"/>
        <w:gridCol w:w="23"/>
      </w:tblGrid>
      <w:tr>
        <w:trPr/>
        <w:tc>
          <w:tcPr>
            <w:tcW w:w="4595" w:type="dxa"/>
            <w:tcBorders/>
            <w:vAlign w:val="center"/>
          </w:tcPr>
          <w:p>
            <w:pPr>
              <w:pStyle w:val="TableContents"/>
              <w:bidi w:val="0"/>
              <w:spacing w:before="0" w:after="283"/>
              <w:jc w:val="left"/>
              <w:rPr/>
            </w:pPr>
            <w:r>
              <w:rPr>
                <w:i/>
              </w:rPr>
              <w:t>Signature of Authorized Signatory of Purchaser</w:t>
            </w:r>
            <w:r>
              <w:rPr/>
              <w:t>:</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45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181" w:name="zeb47305f4c4e41c3bf50a9a478fe4ee8"/>
      <w:bookmarkStart w:id="182" w:name="zeb47305f4c4e41c3bf50a9a478fe4ee8"/>
      <w:bookmarkEnd w:id="182"/>
    </w:p>
    <w:tbl>
      <w:tblPr>
        <w:tblW w:w="3051" w:type="dxa"/>
        <w:jc w:val="left"/>
        <w:tblInd w:w="0" w:type="dxa"/>
        <w:tblLayout w:type="fixed"/>
        <w:tblCellMar>
          <w:top w:w="0" w:type="dxa"/>
          <w:left w:w="0" w:type="dxa"/>
          <w:bottom w:w="0" w:type="dxa"/>
          <w:right w:w="0" w:type="dxa"/>
        </w:tblCellMar>
      </w:tblPr>
      <w:tblGrid>
        <w:gridCol w:w="3005"/>
        <w:gridCol w:w="23"/>
        <w:gridCol w:w="23"/>
      </w:tblGrid>
      <w:tr>
        <w:trPr/>
        <w:tc>
          <w:tcPr>
            <w:tcW w:w="3005" w:type="dxa"/>
            <w:tcBorders/>
            <w:vAlign w:val="center"/>
          </w:tcPr>
          <w:p>
            <w:pPr>
              <w:pStyle w:val="TableContents"/>
              <w:bidi w:val="0"/>
              <w:spacing w:before="0" w:after="283"/>
              <w:jc w:val="left"/>
              <w:rPr/>
            </w:pPr>
            <w:r>
              <w:rPr/>
              <w:t>Name of Authorized Signatory:</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300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3005" w:type="dxa"/>
            <w:tcBorders/>
            <w:vAlign w:val="center"/>
          </w:tcPr>
          <w:p>
            <w:pPr>
              <w:pStyle w:val="TableContents"/>
              <w:bidi w:val="0"/>
              <w:spacing w:before="0" w:after="283"/>
              <w:jc w:val="left"/>
              <w:rPr/>
            </w:pPr>
            <w:r>
              <w:rPr/>
              <w:t>Title of Authorized Signatory:</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300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183" w:name="z116977f243864057b14304dd334efb67"/>
      <w:bookmarkStart w:id="184" w:name="z116977f243864057b14304dd334efb67"/>
      <w:bookmarkEnd w:id="184"/>
    </w:p>
    <w:tbl>
      <w:tblPr>
        <w:tblW w:w="3876" w:type="dxa"/>
        <w:jc w:val="left"/>
        <w:tblInd w:w="0" w:type="dxa"/>
        <w:tblLayout w:type="fixed"/>
        <w:tblCellMar>
          <w:top w:w="0" w:type="dxa"/>
          <w:left w:w="0" w:type="dxa"/>
          <w:bottom w:w="0" w:type="dxa"/>
          <w:right w:w="0" w:type="dxa"/>
        </w:tblCellMar>
      </w:tblPr>
      <w:tblGrid>
        <w:gridCol w:w="3830"/>
        <w:gridCol w:w="23"/>
        <w:gridCol w:w="23"/>
      </w:tblGrid>
      <w:tr>
        <w:trPr/>
        <w:tc>
          <w:tcPr>
            <w:tcW w:w="3830" w:type="dxa"/>
            <w:tcBorders/>
            <w:vAlign w:val="center"/>
          </w:tcPr>
          <w:p>
            <w:pPr>
              <w:pStyle w:val="TableContents"/>
              <w:bidi w:val="0"/>
              <w:spacing w:before="0" w:after="283"/>
              <w:jc w:val="left"/>
              <w:rPr/>
            </w:pPr>
            <w:r>
              <w:rPr/>
              <w:t>Email Address of Authorized Signatory:</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Address for Notice to Purchaser: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Address for Delivery of Securities to Purchaser (if not same as address for notice):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5" w:name="z5095ffed8e614985a93e5b86ce9c68ab"/>
      <w:bookmarkStart w:id="186" w:name="z5095ffed8e614985a93e5b86ce9c68ab"/>
      <w:bookmarkEnd w:id="186"/>
    </w:p>
    <w:tbl>
      <w:tblPr>
        <w:tblW w:w="2418" w:type="dxa"/>
        <w:jc w:val="left"/>
        <w:tblInd w:w="0" w:type="dxa"/>
        <w:tblLayout w:type="fixed"/>
        <w:tblCellMar>
          <w:top w:w="0" w:type="dxa"/>
          <w:left w:w="0" w:type="dxa"/>
          <w:bottom w:w="0" w:type="dxa"/>
          <w:right w:w="0" w:type="dxa"/>
        </w:tblCellMar>
      </w:tblPr>
      <w:tblGrid>
        <w:gridCol w:w="2285"/>
        <w:gridCol w:w="23"/>
        <w:gridCol w:w="110"/>
      </w:tblGrid>
      <w:tr>
        <w:trPr/>
        <w:tc>
          <w:tcPr>
            <w:tcW w:w="2285" w:type="dxa"/>
            <w:tcBorders/>
            <w:vAlign w:val="center"/>
          </w:tcPr>
          <w:p>
            <w:pPr>
              <w:pStyle w:val="TableContents"/>
              <w:bidi w:val="0"/>
              <w:spacing w:before="0" w:after="283"/>
              <w:jc w:val="left"/>
              <w:rPr/>
            </w:pPr>
            <w:r>
              <w:rPr/>
              <w:t>Subscription Amount: $</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s</w:t>
            </w:r>
          </w:p>
        </w:tc>
      </w:tr>
      <w:tr>
        <w:trPr/>
        <w:tc>
          <w:tcPr>
            <w:tcW w:w="228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187" w:name="zf2eeb8b2c9094bffba7ad6f01a6751d6"/>
      <w:bookmarkStart w:id="188" w:name="zf2eeb8b2c9094bffba7ad6f01a6751d6"/>
      <w:bookmarkEnd w:id="188"/>
    </w:p>
    <w:tbl>
      <w:tblPr>
        <w:tblW w:w="756" w:type="dxa"/>
        <w:jc w:val="left"/>
        <w:tblInd w:w="0" w:type="dxa"/>
        <w:tblLayout w:type="fixed"/>
        <w:tblCellMar>
          <w:top w:w="0" w:type="dxa"/>
          <w:left w:w="0" w:type="dxa"/>
          <w:bottom w:w="0" w:type="dxa"/>
          <w:right w:w="0" w:type="dxa"/>
        </w:tblCellMar>
      </w:tblPr>
      <w:tblGrid>
        <w:gridCol w:w="710"/>
        <w:gridCol w:w="23"/>
        <w:gridCol w:w="23"/>
      </w:tblGrid>
      <w:tr>
        <w:trPr/>
        <w:tc>
          <w:tcPr>
            <w:tcW w:w="710" w:type="dxa"/>
            <w:tcBorders/>
            <w:vAlign w:val="center"/>
          </w:tcPr>
          <w:p>
            <w:pPr>
              <w:pStyle w:val="TableContents"/>
              <w:bidi w:val="0"/>
              <w:spacing w:before="0" w:after="283"/>
              <w:jc w:val="left"/>
              <w:rPr/>
            </w:pPr>
            <w:r>
              <w:rPr/>
              <w:t>Shares:</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71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189" w:name="z8a7dbff82c7646a780839c9123be4f42"/>
      <w:bookmarkStart w:id="190" w:name="z8a7dbff82c7646a780839c9123be4f42"/>
      <w:bookmarkEnd w:id="190"/>
    </w:p>
    <w:tbl>
      <w:tblPr>
        <w:tblW w:w="7518" w:type="dxa"/>
        <w:jc w:val="left"/>
        <w:tblInd w:w="0" w:type="dxa"/>
        <w:tblLayout w:type="fixed"/>
        <w:tblCellMar>
          <w:top w:w="0" w:type="dxa"/>
          <w:left w:w="0" w:type="dxa"/>
          <w:bottom w:w="0" w:type="dxa"/>
          <w:right w:w="0" w:type="dxa"/>
        </w:tblCellMar>
      </w:tblPr>
      <w:tblGrid>
        <w:gridCol w:w="2570"/>
        <w:gridCol w:w="23"/>
        <w:gridCol w:w="4925"/>
      </w:tblGrid>
      <w:tr>
        <w:trPr/>
        <w:tc>
          <w:tcPr>
            <w:tcW w:w="2570" w:type="dxa"/>
            <w:tcBorders/>
            <w:vAlign w:val="center"/>
          </w:tcPr>
          <w:p>
            <w:pPr>
              <w:pStyle w:val="TableContents"/>
              <w:bidi w:val="0"/>
              <w:spacing w:before="0" w:after="283"/>
              <w:jc w:val="left"/>
              <w:rPr/>
            </w:pPr>
            <w:r>
              <w:rPr/>
              <w:t>Prefunded Warrant Shares:</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4925" w:type="dxa"/>
            <w:tcBorders/>
            <w:vAlign w:val="center"/>
          </w:tcPr>
          <w:p>
            <w:pPr>
              <w:pStyle w:val="TableContents"/>
              <w:bidi w:val="0"/>
              <w:spacing w:before="0" w:after="283"/>
              <w:jc w:val="left"/>
              <w:rPr/>
            </w:pPr>
            <w:r>
              <w:rPr/>
              <w:t>Beneficial Ownership Blocker □ 4.99% or □ 9.99%</w:t>
            </w:r>
          </w:p>
        </w:tc>
      </w:tr>
      <w:tr>
        <w:trPr/>
        <w:tc>
          <w:tcPr>
            <w:tcW w:w="257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925" w:type="dxa"/>
            <w:tcBorders/>
            <w:vAlign w:val="center"/>
          </w:tcPr>
          <w:p>
            <w:pPr>
              <w:pStyle w:val="TableContents"/>
              <w:bidi w:val="0"/>
              <w:spacing w:before="0" w:after="283"/>
              <w:jc w:val="left"/>
              <w:rPr/>
            </w:pPr>
            <w:r>
              <w:rPr/>
            </w:r>
          </w:p>
        </w:tc>
      </w:tr>
      <w:tr>
        <w:trPr/>
        <w:tc>
          <w:tcPr>
            <w:tcW w:w="2570" w:type="dxa"/>
            <w:tcBorders/>
            <w:vAlign w:val="center"/>
          </w:tcPr>
          <w:p>
            <w:pPr>
              <w:pStyle w:val="TableContents"/>
              <w:bidi w:val="0"/>
              <w:spacing w:before="0" w:after="283"/>
              <w:jc w:val="left"/>
              <w:rPr/>
            </w:pPr>
            <w:r>
              <w:rPr/>
              <w:t>Common Warrant Shares:</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4925" w:type="dxa"/>
            <w:tcBorders/>
            <w:vAlign w:val="center"/>
          </w:tcPr>
          <w:p>
            <w:pPr>
              <w:pStyle w:val="TableContents"/>
              <w:bidi w:val="0"/>
              <w:spacing w:before="0" w:after="283"/>
              <w:jc w:val="left"/>
              <w:rPr/>
            </w:pPr>
            <w:r>
              <w:rPr/>
              <w:t>Beneficial Ownership Blocker □ 4.99% or □ 9.99%</w:t>
            </w:r>
          </w:p>
        </w:tc>
      </w:tr>
      <w:tr>
        <w:trPr/>
        <w:tc>
          <w:tcPr>
            <w:tcW w:w="257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925"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191" w:name="z60e1411d43664a95a5be97d69c313d1a"/>
      <w:bookmarkStart w:id="192" w:name="z60e1411d43664a95a5be97d69c313d1a"/>
      <w:bookmarkEnd w:id="192"/>
    </w:p>
    <w:tbl>
      <w:tblPr>
        <w:tblW w:w="1371" w:type="dxa"/>
        <w:jc w:val="left"/>
        <w:tblInd w:w="0" w:type="dxa"/>
        <w:tblLayout w:type="fixed"/>
        <w:tblCellMar>
          <w:top w:w="0" w:type="dxa"/>
          <w:left w:w="0" w:type="dxa"/>
          <w:bottom w:w="0" w:type="dxa"/>
          <w:right w:w="0" w:type="dxa"/>
        </w:tblCellMar>
      </w:tblPr>
      <w:tblGrid>
        <w:gridCol w:w="1325"/>
        <w:gridCol w:w="23"/>
        <w:gridCol w:w="23"/>
      </w:tblGrid>
      <w:tr>
        <w:trPr/>
        <w:tc>
          <w:tcPr>
            <w:tcW w:w="1325" w:type="dxa"/>
            <w:tcBorders/>
            <w:vAlign w:val="center"/>
          </w:tcPr>
          <w:p>
            <w:pPr>
              <w:pStyle w:val="TableContents"/>
              <w:bidi w:val="0"/>
              <w:spacing w:before="0" w:after="283"/>
              <w:jc w:val="left"/>
              <w:rPr/>
            </w:pPr>
            <w:r>
              <w:rPr/>
              <w:t>EIN Number:</w:t>
            </w:r>
          </w:p>
        </w:tc>
        <w:tc>
          <w:tcPr>
            <w:tcW w:w="23" w:type="dxa"/>
            <w:tcBorders>
              <w:bottom w:val="single" w:sz="12" w:space="0" w:color="000000"/>
            </w:tcBorders>
            <w:tcMar>
              <w:bottom w:w="28" w:type="dxa"/>
            </w:tcMar>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both"/>
        <w:rPr>
          <w:color w:val="000000"/>
        </w:rPr>
      </w:pPr>
      <w:r>
        <w:rPr>
          <w:color w:val="000000"/>
        </w:rPr>
        <w:t xml:space="preserve">☐  </w:t>
      </w:r>
      <w:r>
        <w:rPr>
          <w:rFonts w:ascii="Times New Roman;Times;serif" w:hAnsi="Times New Roman;Times;serif"/>
          <w:color w:val="000000"/>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first (1st) Trading Day following the date of this Agreement (or the second (2nd) Trading Day following the date hereof if this Agreement is signed on a day that is not a Trading Day or after 4:00 p.m. (New York City time) and before midnight (New York City time) on a Trading Day)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[SIGNATURE PAGES CONTINUE]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Common Warrant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Exhibit B</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Prefunded Warrant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Exhibit C</w:t>
      </w:r>
    </w:p>
    <w:p>
      <w:pPr>
        <w:pStyle w:val="TextBody"/>
        <w:bidi w:val="0"/>
        <w:spacing w:before="0" w:after="0"/>
        <w:jc w:val="center"/>
        <w:rPr>
          <w:b/>
        </w:rPr>
      </w:pPr>
      <w:r>
        <w:rPr>
          <w:b/>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Lock-Up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 ],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3" w:name="z147c631412204546836f3e48cca680a9"/>
      <w:bookmarkStart w:id="194" w:name="z147c631412204546836f3e48cca680a9"/>
      <w:bookmarkEnd w:id="194"/>
    </w:p>
    <w:tbl>
      <w:tblPr>
        <w:tblW w:w="10205" w:type="dxa"/>
        <w:jc w:val="left"/>
        <w:tblInd w:w="0" w:type="dxa"/>
        <w:tblLayout w:type="fixed"/>
        <w:tblCellMar>
          <w:top w:w="0" w:type="dxa"/>
          <w:left w:w="0" w:type="dxa"/>
          <w:bottom w:w="0" w:type="dxa"/>
          <w:right w:w="0" w:type="dxa"/>
        </w:tblCellMar>
      </w:tblPr>
      <w:tblGrid>
        <w:gridCol w:w="38"/>
        <w:gridCol w:w="314"/>
        <w:gridCol w:w="9853"/>
      </w:tblGrid>
      <w:tr>
        <w:trPr/>
        <w:tc>
          <w:tcPr>
            <w:tcW w:w="38" w:type="dxa"/>
            <w:tcBorders/>
            <w:vAlign w:val="center"/>
          </w:tcPr>
          <w:p>
            <w:pPr>
              <w:pStyle w:val="TableContents"/>
              <w:bidi w:val="0"/>
              <w:spacing w:before="0" w:after="283"/>
              <w:jc w:val="left"/>
              <w:rPr/>
            </w:pPr>
            <w:r>
              <w:rPr/>
            </w:r>
          </w:p>
        </w:tc>
        <w:tc>
          <w:tcPr>
            <w:tcW w:w="314" w:type="dxa"/>
            <w:tcBorders/>
            <w:vAlign w:val="center"/>
          </w:tcPr>
          <w:p>
            <w:pPr>
              <w:pStyle w:val="TableContents"/>
              <w:bidi w:val="0"/>
              <w:spacing w:before="0" w:after="283"/>
              <w:jc w:val="left"/>
              <w:rPr/>
            </w:pPr>
            <w:r>
              <w:rPr/>
              <w:t>Re:</w:t>
            </w:r>
          </w:p>
        </w:tc>
        <w:tc>
          <w:tcPr>
            <w:tcW w:w="9853" w:type="dxa"/>
            <w:tcBorders/>
            <w:vAlign w:val="center"/>
          </w:tcPr>
          <w:p>
            <w:pPr>
              <w:pStyle w:val="TableContents"/>
              <w:bidi w:val="0"/>
              <w:spacing w:before="0" w:after="0"/>
              <w:jc w:val="both"/>
              <w:rPr/>
            </w:pPr>
            <w:r>
              <w:rPr/>
              <w:t>Securities Purchase Agreement, dated as of [ ● ], 2026 (the “</w:t>
            </w:r>
            <w:r>
              <w:rPr>
                <w:u w:val="single"/>
              </w:rPr>
              <w:t>Purchase Agreement</w:t>
            </w:r>
            <w:r>
              <w:rPr/>
              <w:t>”), between Neighborhood Intelligence, Inc. (the “</w:t>
            </w:r>
            <w:r>
              <w:rPr>
                <w:u w:val="single"/>
              </w:rPr>
              <w:t>Company</w:t>
            </w:r>
            <w:r>
              <w:rPr/>
              <w:t>”) and the purchasers signatory thereto (each, a “</w:t>
            </w:r>
            <w:r>
              <w:rPr>
                <w:u w:val="single"/>
              </w:rPr>
              <w:t>Purchaser</w:t>
            </w:r>
            <w:r>
              <w:rPr/>
              <w:t>” and, collectively, the “</w:t>
            </w:r>
            <w:r>
              <w:rPr>
                <w:u w:val="single"/>
              </w:rPr>
              <w:t>Purchasers</w:t>
            </w:r>
            <w:r>
              <w:rPr/>
              <w:t>”)</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90" w:right="0" w:hanging="0"/>
        <w:jc w:val="both"/>
        <w:rPr>
          <w:rFonts w:ascii="Times New Roman;Times;serif" w:hAnsi="Times New Roman;Times;serif"/>
          <w:color w:val="000000"/>
          <w:sz w:val="20"/>
        </w:rPr>
      </w:pPr>
      <w:r>
        <w:rPr>
          <w:rFonts w:ascii="Times New Roman;Times;serif" w:hAnsi="Times New Roman;Times;serif"/>
          <w:color w:val="000000"/>
          <w:sz w:val="20"/>
        </w:rPr>
        <w:t>Defined terms not otherwise defined in this letter agreement (the “</w:t>
      </w:r>
      <w:r>
        <w:rPr>
          <w:rFonts w:ascii="Times New Roman;Times;serif" w:hAnsi="Times New Roman;Times;serif"/>
          <w:color w:val="000000"/>
          <w:sz w:val="20"/>
          <w:u w:val="single"/>
        </w:rPr>
        <w:t>Letter Agreement</w:t>
      </w:r>
      <w:r>
        <w:rPr>
          <w:rFonts w:ascii="Times New Roman;Times;serif" w:hAnsi="Times New Roman;Times;serif"/>
          <w:color w:val="000000"/>
          <w:sz w:val="20"/>
        </w:rPr>
        <w:t>”) shall have the meanings set forth in the Purchase Agreement.  Pursuant to Section 2.2(a) of the Purchase Agreement and in satisfaction of a condition of the Company’s obligations under the Purchase Agreement, the undersigned irrevocably agrees with the Company that, from the date hereof until ninety (90) days after the Closing Date (such period, the “</w:t>
      </w:r>
      <w:r>
        <w:rPr>
          <w:rFonts w:ascii="Times New Roman;Times;serif" w:hAnsi="Times New Roman;Times;serif"/>
          <w:color w:val="000000"/>
          <w:sz w:val="20"/>
          <w:u w:val="single"/>
        </w:rPr>
        <w:t>Restriction Period</w:t>
      </w:r>
      <w:r>
        <w:rPr>
          <w:rFonts w:ascii="Times New Roman;Times;serif" w:hAnsi="Times New Roman;Times;serif"/>
          <w:color w:val="000000"/>
          <w:sz w:val="20"/>
        </w:rPr>
        <w:t>”) the undersigned will not, without the prior written consent of the Purchasers, offer, sell, contract to sell, hypothecate, pledge or otherwise dispose of (or enter into any transaction which is designed to, or might reasonably be expected to, result in the disposition at any time, including in the future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color w:val="000000"/>
          <w:sz w:val="20"/>
          <w:u w:val="single"/>
        </w:rPr>
        <w:t>Exchange Act</w:t>
      </w:r>
      <w:r>
        <w:rPr>
          <w:rFonts w:ascii="Times New Roman;Times;serif" w:hAnsi="Times New Roman;Times;serif"/>
          <w:color w:val="000000"/>
          <w:sz w:val="20"/>
        </w:rPr>
        <w:t>”), with respect to, any shares of Common Stock of the Company or securities convertible, exchangeable or exercisable into, Common Stock of the Company beneficially owned, held or hereafter acquired by the undersigned (the “</w:t>
      </w:r>
      <w:r>
        <w:rPr>
          <w:rFonts w:ascii="Times New Roman;Times;serif" w:hAnsi="Times New Roman;Times;serif"/>
          <w:color w:val="000000"/>
          <w:sz w:val="20"/>
          <w:u w:val="single"/>
        </w:rPr>
        <w:t>Securities</w:t>
      </w:r>
      <w:r>
        <w:rPr>
          <w:rFonts w:ascii="Times New Roman;Times;serif" w:hAnsi="Times New Roman;Times;serif"/>
          <w:color w:val="000000"/>
          <w:sz w:val="20"/>
        </w:rPr>
        <w:t>”), including, without limitation, by entering into any swap or other derivatives transaction that transfers to another, in whole or in part, any of the economic benefits or risks of ownership of Common Stock or such other securities convertible, exchangeable or exercisable into, Common Stock, whether any such transaction is to be settled by delivery of shares of Common Stock or other securities, in cash or otherwise, nor will the undersigned make any demand for or exercise any right or cause to be filed a registration statement, including any amendments thereto, with respect to the registration of any Common Stock or securities convertible into or exercisable or exchangeable for shares of Common Stock or any other securities of the Company or publicly disclose the intention to do any of the foregoing actions in this paragraph, during the Restriction Period.  Beneficial ownership shall be calculated in accordance with Section 13(d) of the Exchange Act.</w:t>
      </w:r>
    </w:p>
    <w:p>
      <w:pPr>
        <w:pStyle w:val="TextBody"/>
        <w:bidi w:val="0"/>
        <w:spacing w:before="0" w:after="0"/>
        <w:jc w:val="left"/>
        <w:rPr/>
      </w:pPr>
      <w:r>
        <w:rPr/>
      </w:r>
    </w:p>
    <w:p>
      <w:pPr>
        <w:pStyle w:val="TextBody"/>
        <w:bidi w:val="0"/>
        <w:spacing w:before="0" w:after="0"/>
        <w:ind w:left="9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the foregoing, and subject to the conditions below, the undersigned may transfer the Securities during the Restriction Period pursuant to clauses (i) through (viii) below without the prior written consent of the Purchasers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publicly reported with the Securities and Exchange Commission in accordance with the Exchange Act and no public report of such transfer shall be made voluntarily, and (4) neither the undersigned nor any donee, trustee, distributee or transferee, as the case may be, otherwise voluntarily effects any public filing or report regarding such transfers: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95" w:name="z3b7d86925c0e478bbbcd1b0f2007090c"/>
      <w:bookmarkStart w:id="196" w:name="z3b7d86925c0e478bbbcd1b0f2007090c"/>
      <w:bookmarkEnd w:id="196"/>
    </w:p>
    <w:tbl>
      <w:tblPr>
        <w:tblW w:w="2725" w:type="dxa"/>
        <w:jc w:val="left"/>
        <w:tblInd w:w="0" w:type="dxa"/>
        <w:tblLayout w:type="fixed"/>
        <w:tblCellMar>
          <w:top w:w="0" w:type="dxa"/>
          <w:left w:w="0" w:type="dxa"/>
          <w:bottom w:w="0" w:type="dxa"/>
          <w:right w:w="0" w:type="dxa"/>
        </w:tblCellMar>
      </w:tblPr>
      <w:tblGrid>
        <w:gridCol w:w="75"/>
        <w:gridCol w:w="155"/>
        <w:gridCol w:w="249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i)</w:t>
            </w:r>
          </w:p>
        </w:tc>
        <w:tc>
          <w:tcPr>
            <w:tcW w:w="2495" w:type="dxa"/>
            <w:tcBorders/>
            <w:vAlign w:val="center"/>
          </w:tcPr>
          <w:p>
            <w:pPr>
              <w:pStyle w:val="TableContents"/>
              <w:bidi w:val="0"/>
              <w:spacing w:before="0" w:after="0"/>
              <w:jc w:val="left"/>
              <w:rPr/>
            </w:pPr>
            <w:r>
              <w:rPr/>
              <w:t xml:space="preserve">as a </w:t>
            </w:r>
            <w:r>
              <w:rPr>
                <w:i/>
              </w:rPr>
              <w:t>bona fide</w:t>
            </w:r>
            <w:r>
              <w:rPr/>
              <w:t xml:space="preserve"> gift or gifts;</w:t>
            </w:r>
          </w:p>
        </w:tc>
      </w:tr>
    </w:tbl>
    <w:p>
      <w:pPr>
        <w:pStyle w:val="TextBody"/>
        <w:bidi w:val="0"/>
        <w:spacing w:before="0" w:after="0"/>
        <w:ind w:left="720" w:right="0" w:hanging="720"/>
        <w:jc w:val="both"/>
        <w:rPr/>
      </w:pPr>
      <w:r>
        <w:rPr/>
      </w:r>
    </w:p>
    <w:p>
      <w:pPr>
        <w:pStyle w:val="Normal"/>
        <w:bidi w:val="0"/>
        <w:spacing w:before="0" w:after="0"/>
        <w:jc w:val="left"/>
        <w:rPr>
          <w:sz w:val="4"/>
          <w:szCs w:val="4"/>
        </w:rPr>
      </w:pPr>
      <w:r>
        <w:rPr>
          <w:sz w:val="4"/>
          <w:szCs w:val="4"/>
        </w:rPr>
      </w:r>
      <w:bookmarkStart w:id="197" w:name="za27b160d9e7a48009c2f3f5cb98156f7"/>
      <w:bookmarkStart w:id="198" w:name="za27b160d9e7a48009c2f3f5cb98156f7"/>
      <w:bookmarkEnd w:id="198"/>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ii)</w:t>
            </w:r>
          </w:p>
        </w:tc>
        <w:tc>
          <w:tcPr>
            <w:tcW w:w="9966" w:type="dxa"/>
            <w:tcBorders/>
            <w:vAlign w:val="center"/>
          </w:tcPr>
          <w:p>
            <w:pPr>
              <w:pStyle w:val="TableContents"/>
              <w:bidi w:val="0"/>
              <w:spacing w:before="0" w:after="0"/>
              <w:jc w:val="left"/>
              <w:rPr/>
            </w:pPr>
            <w:r>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tc>
      </w:tr>
    </w:tbl>
    <w:p>
      <w:pPr>
        <w:pStyle w:val="TextBody"/>
        <w:bidi w:val="0"/>
        <w:spacing w:before="0" w:after="0"/>
        <w:ind w:left="720" w:right="0" w:hanging="720"/>
        <w:jc w:val="left"/>
        <w:rPr/>
      </w:pPr>
      <w:r>
        <w:rPr/>
      </w:r>
    </w:p>
    <w:p>
      <w:pPr>
        <w:pStyle w:val="Normal"/>
        <w:bidi w:val="0"/>
        <w:spacing w:before="0" w:after="0"/>
        <w:jc w:val="left"/>
        <w:rPr>
          <w:sz w:val="4"/>
          <w:szCs w:val="4"/>
        </w:rPr>
      </w:pPr>
      <w:r>
        <w:rPr>
          <w:sz w:val="4"/>
          <w:szCs w:val="4"/>
        </w:rPr>
      </w:r>
      <w:bookmarkStart w:id="199" w:name="zbdb76e3486ed4811a4424ba1e01b5ff9"/>
      <w:bookmarkStart w:id="200" w:name="zbdb76e3486ed4811a4424ba1e01b5ff9"/>
      <w:bookmarkEnd w:id="200"/>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iii)</w:t>
            </w:r>
          </w:p>
        </w:tc>
        <w:tc>
          <w:tcPr>
            <w:tcW w:w="9892" w:type="dxa"/>
            <w:tcBorders/>
            <w:vAlign w:val="center"/>
          </w:tcPr>
          <w:p>
            <w:pPr>
              <w:pStyle w:val="TableContents"/>
              <w:bidi w:val="0"/>
              <w:spacing w:before="0" w:after="0"/>
              <w:jc w:val="left"/>
              <w:rPr/>
            </w:pPr>
            <w:r>
              <w:rPr/>
              <w:t>to any corporation, partnership, limited liability company, or other business entity all of the equity holders of which consist of the undersigned and/or the immediate family of the undersigned;</w:t>
            </w:r>
          </w:p>
        </w:tc>
      </w:tr>
    </w:tbl>
    <w:p>
      <w:pPr>
        <w:pStyle w:val="TextBody"/>
        <w:bidi w:val="0"/>
        <w:spacing w:before="0" w:after="0"/>
        <w:ind w:left="720" w:right="0" w:hanging="720"/>
        <w:jc w:val="left"/>
        <w:rPr/>
      </w:pPr>
      <w:r>
        <w:rPr/>
      </w:r>
    </w:p>
    <w:p>
      <w:pPr>
        <w:pStyle w:val="Normal"/>
        <w:bidi w:val="0"/>
        <w:spacing w:before="0" w:after="0"/>
        <w:jc w:val="left"/>
        <w:rPr>
          <w:sz w:val="4"/>
          <w:szCs w:val="4"/>
        </w:rPr>
      </w:pPr>
      <w:r>
        <w:rPr>
          <w:sz w:val="4"/>
          <w:szCs w:val="4"/>
        </w:rPr>
      </w:r>
      <w:bookmarkStart w:id="201" w:name="z7fa36adf694d4d88896ded173fadcd8f"/>
      <w:bookmarkStart w:id="202" w:name="z7fa36adf694d4d88896ded173fadcd8f"/>
      <w:bookmarkEnd w:id="202"/>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iv)</w:t>
            </w:r>
          </w:p>
        </w:tc>
        <w:tc>
          <w:tcPr>
            <w:tcW w:w="9914" w:type="dxa"/>
            <w:tcBorders/>
            <w:vAlign w:val="center"/>
          </w:tcPr>
          <w:p>
            <w:pPr>
              <w:pStyle w:val="TableContents"/>
              <w:bidi w:val="0"/>
              <w:spacing w:before="0" w:after="0"/>
              <w:jc w:val="left"/>
              <w:rPr/>
            </w:pPr>
            <w:r>
              <w:rPr/>
              <w:t>if the undersigned is a corporation, partnership, limited liability company, trust or other business entity (a) to another corporation, partnership, limited liability company, trust or other business entity that is an Affiliate of the undersigned or an investment fund or other entity controlled or managed by the undersigned or (b) in the form of a distribution to limited partners, limited liability company members or shareholders of the undersigned;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3" w:name="z0788c2be5bdf4ebca541fbb717798a6f"/>
      <w:bookmarkStart w:id="204" w:name="z0788c2be5bdf4ebca541fbb717798a6f"/>
      <w:bookmarkEnd w:id="204"/>
    </w:p>
    <w:tbl>
      <w:tblPr>
        <w:tblW w:w="5890" w:type="dxa"/>
        <w:jc w:val="left"/>
        <w:tblInd w:w="0" w:type="dxa"/>
        <w:tblLayout w:type="fixed"/>
        <w:tblCellMar>
          <w:top w:w="0" w:type="dxa"/>
          <w:left w:w="0" w:type="dxa"/>
          <w:bottom w:w="0" w:type="dxa"/>
          <w:right w:w="0" w:type="dxa"/>
        </w:tblCellMar>
      </w:tblPr>
      <w:tblGrid>
        <w:gridCol w:w="75"/>
        <w:gridCol w:w="215"/>
        <w:gridCol w:w="560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v)</w:t>
            </w:r>
          </w:p>
        </w:tc>
        <w:tc>
          <w:tcPr>
            <w:tcW w:w="5600" w:type="dxa"/>
            <w:tcBorders/>
            <w:vAlign w:val="center"/>
          </w:tcPr>
          <w:p>
            <w:pPr>
              <w:pStyle w:val="TableContents"/>
              <w:bidi w:val="0"/>
              <w:spacing w:before="0" w:after="0"/>
              <w:jc w:val="left"/>
              <w:rPr/>
            </w:pPr>
            <w:r>
              <w:rPr/>
              <w:t>if the undersigned is a trust, to the beneficiary of such trust;</w:t>
            </w:r>
          </w:p>
        </w:tc>
      </w:tr>
    </w:tbl>
    <w:p>
      <w:pPr>
        <w:pStyle w:val="TextBody"/>
        <w:bidi w:val="0"/>
        <w:spacing w:before="0" w:after="0"/>
        <w:ind w:left="720" w:right="0" w:hanging="720"/>
        <w:jc w:val="left"/>
        <w:rPr/>
      </w:pPr>
      <w:r>
        <w:rPr/>
      </w:r>
    </w:p>
    <w:p>
      <w:pPr>
        <w:pStyle w:val="Normal"/>
        <w:bidi w:val="0"/>
        <w:spacing w:before="0" w:after="0"/>
        <w:jc w:val="left"/>
        <w:rPr>
          <w:sz w:val="4"/>
          <w:szCs w:val="4"/>
        </w:rPr>
      </w:pPr>
      <w:r>
        <w:rPr>
          <w:sz w:val="4"/>
          <w:szCs w:val="4"/>
        </w:rPr>
      </w:r>
      <w:bookmarkStart w:id="205" w:name="z417483c0831343dba664b90c1162b589"/>
      <w:bookmarkStart w:id="206" w:name="z417483c0831343dba664b90c1162b589"/>
      <w:bookmarkEnd w:id="206"/>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vi)</w:t>
            </w:r>
          </w:p>
        </w:tc>
        <w:tc>
          <w:tcPr>
            <w:tcW w:w="9884" w:type="dxa"/>
            <w:tcBorders/>
            <w:vAlign w:val="center"/>
          </w:tcPr>
          <w:p>
            <w:pPr>
              <w:pStyle w:val="TableContents"/>
              <w:bidi w:val="0"/>
              <w:spacing w:before="0" w:after="0"/>
              <w:jc w:val="left"/>
              <w:rPr/>
            </w:pPr>
            <w:r>
              <w:rPr/>
              <w:t>by will, other testamentary document or intestate succession to the legal representative, heir, beneficiary or a member of the immediate family of the undersigned;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7" w:name="ze87924e2a77a401f9bf12cb2cd11f8c9"/>
      <w:bookmarkStart w:id="208" w:name="ze87924e2a77a401f9bf12cb2cd11f8c9"/>
      <w:bookmarkEnd w:id="208"/>
    </w:p>
    <w:tbl>
      <w:tblPr>
        <w:tblW w:w="10205" w:type="dxa"/>
        <w:jc w:val="left"/>
        <w:tblInd w:w="0" w:type="dxa"/>
        <w:tblLayout w:type="fixed"/>
        <w:tblCellMar>
          <w:top w:w="0" w:type="dxa"/>
          <w:left w:w="0" w:type="dxa"/>
          <w:bottom w:w="0" w:type="dxa"/>
          <w:right w:w="0" w:type="dxa"/>
        </w:tblCellMar>
      </w:tblPr>
      <w:tblGrid>
        <w:gridCol w:w="75"/>
        <w:gridCol w:w="307"/>
        <w:gridCol w:w="9823"/>
      </w:tblGrid>
      <w:tr>
        <w:trPr/>
        <w:tc>
          <w:tcPr>
            <w:tcW w:w="75"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vii)</w:t>
            </w:r>
          </w:p>
        </w:tc>
        <w:tc>
          <w:tcPr>
            <w:tcW w:w="9823" w:type="dxa"/>
            <w:tcBorders/>
            <w:vAlign w:val="center"/>
          </w:tcPr>
          <w:p>
            <w:pPr>
              <w:pStyle w:val="TableContents"/>
              <w:bidi w:val="0"/>
              <w:spacing w:before="0" w:after="0"/>
              <w:jc w:val="left"/>
              <w:rPr/>
            </w:pPr>
            <w:r>
              <w:rPr/>
              <w:t>any forfeiture, sale or other transfer to the Company in connection with the termination of the undersigned’s employment with or services to the Company;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9" w:name="z6571eafbd0da4629b73acd9c3c8b728d"/>
      <w:bookmarkStart w:id="210" w:name="z6571eafbd0da4629b73acd9c3c8b728d"/>
      <w:bookmarkEnd w:id="210"/>
    </w:p>
    <w:tbl>
      <w:tblPr>
        <w:tblW w:w="10205" w:type="dxa"/>
        <w:jc w:val="left"/>
        <w:tblInd w:w="0" w:type="dxa"/>
        <w:tblLayout w:type="fixed"/>
        <w:tblCellMar>
          <w:top w:w="0" w:type="dxa"/>
          <w:left w:w="0" w:type="dxa"/>
          <w:bottom w:w="0" w:type="dxa"/>
          <w:right w:w="0" w:type="dxa"/>
        </w:tblCellMar>
      </w:tblPr>
      <w:tblGrid>
        <w:gridCol w:w="75"/>
        <w:gridCol w:w="344"/>
        <w:gridCol w:w="9786"/>
      </w:tblGrid>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viii)</w:t>
            </w:r>
          </w:p>
        </w:tc>
        <w:tc>
          <w:tcPr>
            <w:tcW w:w="9786" w:type="dxa"/>
            <w:tcBorders/>
            <w:vAlign w:val="center"/>
          </w:tcPr>
          <w:p>
            <w:pPr>
              <w:pStyle w:val="TableContents"/>
              <w:bidi w:val="0"/>
              <w:spacing w:before="0" w:after="0"/>
              <w:jc w:val="left"/>
              <w:rPr/>
            </w:pPr>
            <w:r>
              <w:rPr/>
              <w:t>the transfer of shares to the Company to satisfy withholding taxes for any equity award granted prior to the date of the Prospectus Supplement, such as upon exercise, vesting, lapse of substantial risk of forfeiture, or other similar taxable event, in each case on a “cashless” or “net exercise” basis.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addition, notwithstanding the foregoing, this Letter Agreement shall not restrict the delivery of shares of Common Stock to the undersigned upon (i) exercise, vesting or settlement of any equity awards granted under any equity incentive plan of the Company; provided that any shares of Common Stock or Securities acquired in connection with any such exercise, vesting or settlement will be subject to the restrictions set forth in this Letter Agreement, or (ii) the exercise of warrants or conversion of convertible securities; provided that such shares of Common Stock delivered to the undersigned in connection with such exercise or conversion are subject to the restrictions set forth in this Letter Agreement.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during the Restriction Period in connection with the establishment of such plan and (ii) no sale of shares of Common Stock are made pursuant to such plan during the Restriction Period.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Furthermore, the undersigned may also sell shares of Common Stock purchased by the undersigned on the open market following the Closing Date; provided that such sale is not required to be publicly reported the Securities and Exchange Commission in accordance with the Exchange Act and no public report of such sale shall be made voluntarily.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undersigned acknowledges that the execution, delivery and performance of this Letter Agreement is a material inducement to the Company to complete the transactions contemplated by the Purchase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Purchase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Purchase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Letter Agreement shall be binding on successors and assigns of the undersigned with respect to the Securities and any such successor or assign shall enter into a similar agreement for the benefit of the Company.  This Letter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Letter Agreement shall automatically terminate, and the undersigned will be released from its obligations hereunder, upon the earlier to occur, if any, of (1) the date on which the Company provides written notice to the Purchasers that it has determined not to proceed with the proposed offering, (2) the termination of the Purchase Agreement prior to the issuance and delivery of securities thereunder, and (3) [ ● ], 2026, in the event that the Closing Date shall not have occurred prior to such date.</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 SIGNATURE PAGE FOLLOWS***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Letter Agreement may be executed in two or more counterparts, all of which when taken together may be considered one and the same agreement.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1" w:name="zef1a0d21f03e42d9b9ae443537f1f91d"/>
      <w:bookmarkStart w:id="212" w:name="zef1a0d21f03e42d9b9ae443537f1f91d"/>
      <w:bookmarkEnd w:id="212"/>
    </w:p>
    <w:tbl>
      <w:tblPr>
        <w:tblW w:w="2735" w:type="dxa"/>
        <w:jc w:val="left"/>
        <w:tblInd w:w="0" w:type="dxa"/>
        <w:tblLayout w:type="fixed"/>
        <w:tblCellMar>
          <w:top w:w="0" w:type="dxa"/>
          <w:left w:w="0" w:type="dxa"/>
          <w:bottom w:w="28" w:type="dxa"/>
          <w:right w:w="0" w:type="dxa"/>
        </w:tblCellMar>
      </w:tblPr>
      <w:tblGrid>
        <w:gridCol w:w="2675"/>
        <w:gridCol w:w="60"/>
      </w:tblGrid>
      <w:tr>
        <w:trPr/>
        <w:tc>
          <w:tcPr>
            <w:tcW w:w="2675" w:type="dxa"/>
            <w:tcBorders>
              <w:bottom w:val="single" w:sz="12" w:space="0" w:color="000000"/>
            </w:tcBorders>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0"/>
              <w:jc w:val="both"/>
              <w:rPr/>
            </w:pPr>
            <w:r>
              <w:rPr/>
              <w:t>Signature</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0"/>
              <w:jc w:val="both"/>
              <w:rPr/>
            </w:pPr>
            <w:r>
              <w:rPr/>
              <w:t>Print Name</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0"/>
              <w:jc w:val="both"/>
              <w:rPr/>
            </w:pPr>
            <w:r>
              <w:rPr/>
              <w:t>Position in Company, if any</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0"/>
              <w:jc w:val="both"/>
              <w:rPr/>
            </w:pPr>
            <w:r>
              <w:rPr/>
              <w:t>Address for Notice:</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67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By signing below, the Company agrees to enforce the restrictions on transfer set forth in this Letter Agreement.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3" w:name="z409cb7eb1da74fa99730f78569aaa3a6"/>
      <w:bookmarkStart w:id="214" w:name="z409cb7eb1da74fa99730f78569aaa3a6"/>
      <w:bookmarkEnd w:id="214"/>
    </w:p>
    <w:tbl>
      <w:tblPr>
        <w:tblW w:w="4699" w:type="dxa"/>
        <w:jc w:val="left"/>
        <w:tblInd w:w="0" w:type="dxa"/>
        <w:tblLayout w:type="fixed"/>
        <w:tblCellMar>
          <w:top w:w="0" w:type="dxa"/>
          <w:left w:w="0" w:type="dxa"/>
          <w:bottom w:w="0" w:type="dxa"/>
          <w:right w:w="0" w:type="dxa"/>
        </w:tblCellMar>
      </w:tblPr>
      <w:tblGrid>
        <w:gridCol w:w="4209"/>
        <w:gridCol w:w="430"/>
        <w:gridCol w:w="60"/>
      </w:tblGrid>
      <w:tr>
        <w:trPr/>
        <w:tc>
          <w:tcPr>
            <w:tcW w:w="4639" w:type="dxa"/>
            <w:gridSpan w:val="2"/>
            <w:tcBorders/>
            <w:vAlign w:val="center"/>
          </w:tcPr>
          <w:p>
            <w:pPr>
              <w:pStyle w:val="TableContents"/>
              <w:bidi w:val="0"/>
              <w:spacing w:before="0" w:after="0"/>
              <w:jc w:val="both"/>
              <w:rPr>
                <w:b/>
              </w:rPr>
            </w:pPr>
            <w:r>
              <w:rPr>
                <w:b/>
              </w:rPr>
              <w:t>NEIGHBORHOOD INTELLIGENCE, INC.</w:t>
            </w:r>
          </w:p>
        </w:tc>
        <w:tc>
          <w:tcPr>
            <w:tcW w:w="60" w:type="dxa"/>
            <w:tcBorders/>
            <w:vAlign w:val="center"/>
          </w:tcPr>
          <w:p>
            <w:pPr>
              <w:pStyle w:val="TableContents"/>
              <w:bidi w:val="0"/>
              <w:spacing w:before="0" w:after="283"/>
              <w:jc w:val="left"/>
              <w:rPr/>
            </w:pPr>
            <w:r>
              <w:rPr/>
              <w:t> </w:t>
            </w:r>
          </w:p>
        </w:tc>
      </w:tr>
      <w:tr>
        <w:trPr/>
        <w:tc>
          <w:tcPr>
            <w:tcW w:w="4209"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209" w:type="dxa"/>
            <w:tcBorders/>
            <w:vAlign w:val="center"/>
          </w:tcPr>
          <w:p>
            <w:pPr>
              <w:pStyle w:val="TableContents"/>
              <w:bidi w:val="0"/>
              <w:spacing w:before="0" w:after="0"/>
              <w:jc w:val="both"/>
              <w:rPr/>
            </w:pPr>
            <w:r>
              <w:rPr/>
              <w:t>By:</w:t>
            </w:r>
          </w:p>
        </w:tc>
        <w:tc>
          <w:tcPr>
            <w:tcW w:w="43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209" w:type="dxa"/>
            <w:tcBorders/>
            <w:vAlign w:val="center"/>
          </w:tcPr>
          <w:p>
            <w:pPr>
              <w:pStyle w:val="TableContents"/>
              <w:bidi w:val="0"/>
              <w:spacing w:before="0" w:after="0"/>
              <w:jc w:val="both"/>
              <w:rPr/>
            </w:pPr>
            <w:r>
              <w:rPr/>
              <w:t>Name:</w:t>
            </w:r>
          </w:p>
        </w:tc>
        <w:tc>
          <w:tcPr>
            <w:tcW w:w="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209" w:type="dxa"/>
            <w:tcBorders/>
            <w:vAlign w:val="center"/>
          </w:tcPr>
          <w:p>
            <w:pPr>
              <w:pStyle w:val="TableContents"/>
              <w:bidi w:val="0"/>
              <w:spacing w:before="0" w:after="0"/>
              <w:jc w:val="both"/>
              <w:rPr/>
            </w:pPr>
            <w:r>
              <w:rPr/>
              <w:t>Title:</w:t>
            </w:r>
          </w:p>
        </w:tc>
        <w:tc>
          <w:tcPr>
            <w:tcW w:w="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44</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51875</Words>
  <Characters>269509</Characters>
  <CharactersWithSpaces>323501</CharactersWithSpaces>
  <Paragraphs>1174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