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ind w:left="0" w:right="0" w:firstLine="270"/>
        <w:jc w:val="center"/>
        <w:rPr/>
      </w:pPr>
      <w:r>
        <w:rPr>
          <w:color w:val="000000"/>
        </w:rPr>
        <w:t> </w:t>
      </w:r>
      <w:r>
        <w:rPr>
          <w:rFonts w:ascii="Times New Roman;sans-serif" w:hAnsi="Times New Roman;sans-serif"/>
          <w:b/>
          <w:color w:val="000000"/>
          <w:sz w:val="18"/>
        </w:rPr>
        <w:t xml:space="preserve">For the quarterly period ended September 30, 2023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18"/>
        </w:rPr>
        <w:t>Or</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001-41850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OVERSTOCK.COM,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 </w:t>
      </w:r>
    </w:p>
    <w:tbl>
      <w:tblPr>
        <w:tblW w:w="7596" w:type="dxa"/>
        <w:jc w:val="left"/>
        <w:tblInd w:w="0" w:type="dxa"/>
        <w:tblLayout w:type="fixed"/>
        <w:tblCellMar>
          <w:top w:w="28" w:type="dxa"/>
          <w:left w:w="28" w:type="dxa"/>
          <w:bottom w:w="28" w:type="dxa"/>
          <w:right w:w="28" w:type="dxa"/>
        </w:tblCellMar>
      </w:tblPr>
      <w:tblGrid>
        <w:gridCol w:w="531"/>
        <w:gridCol w:w="466"/>
        <w:gridCol w:w="466"/>
        <w:gridCol w:w="466"/>
        <w:gridCol w:w="466"/>
        <w:gridCol w:w="466"/>
        <w:gridCol w:w="466"/>
        <w:gridCol w:w="466"/>
        <w:gridCol w:w="491"/>
        <w:gridCol w:w="109"/>
        <w:gridCol w:w="109"/>
        <w:gridCol w:w="109"/>
        <w:gridCol w:w="870"/>
        <w:gridCol w:w="870"/>
        <w:gridCol w:w="1245"/>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87-0634302</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Number)</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799 West Coliseum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Midvale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84047</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(801) 947-3100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35"/>
        <w:gridCol w:w="824"/>
        <w:gridCol w:w="835"/>
        <w:gridCol w:w="109"/>
        <w:gridCol w:w="109"/>
        <w:gridCol w:w="109"/>
        <w:gridCol w:w="484"/>
        <w:gridCol w:w="484"/>
        <w:gridCol w:w="486"/>
        <w:gridCol w:w="109"/>
        <w:gridCol w:w="109"/>
        <w:gridCol w:w="109"/>
        <w:gridCol w:w="956"/>
        <w:gridCol w:w="956"/>
        <w:gridCol w:w="1357"/>
      </w:tblGrid>
      <w:tr>
        <w:trPr/>
        <w:tc>
          <w:tcPr>
            <w:tcW w:w="93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OSTK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45,304,946 shares of the registrant's common stock, par value $0.0001, are outstanding on October 27, 2023.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 TO 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0"/>
        <w:jc w:val="center"/>
        <w:rPr>
          <w:color w:val="000000"/>
        </w:rPr>
      </w:pPr>
      <w:r>
        <w:rPr>
          <w:color w:val="000000"/>
        </w:rPr>
        <w:t> </w:t>
      </w:r>
    </w:p>
    <w:tbl>
      <w:tblPr>
        <w:tblW w:w="9878" w:type="dxa"/>
        <w:jc w:val="left"/>
        <w:tblInd w:w="0" w:type="dxa"/>
        <w:tblLayout w:type="fixed"/>
        <w:tblCellMar>
          <w:top w:w="28" w:type="dxa"/>
          <w:left w:w="28" w:type="dxa"/>
          <w:bottom w:w="28" w:type="dxa"/>
          <w:right w:w="28" w:type="dxa"/>
        </w:tblCellMar>
      </w:tblPr>
      <w:tblGrid>
        <w:gridCol w:w="344"/>
        <w:gridCol w:w="301"/>
        <w:gridCol w:w="301"/>
        <w:gridCol w:w="2443"/>
        <w:gridCol w:w="2443"/>
        <w:gridCol w:w="2448"/>
        <w:gridCol w:w="464"/>
        <w:gridCol w:w="464"/>
        <w:gridCol w:w="670"/>
      </w:tblGrid>
      <w:tr>
        <w:trP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001de0a26774a099bedae12d70f2099_13">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6">
              <w:r>
                <w:rPr>
                  <w:rStyle w:val="InternetLink"/>
                  <w:rFonts w:ascii="Times New Roman;sans-serif" w:hAnsi="Times New Roman;sans-serif"/>
                  <w:b w:val="false"/>
                  <w:color w:val="0000FF"/>
                  <w:sz w:val="20"/>
                  <w:u w:val="single"/>
                </w:rPr>
                <w:t>Financial Statements (Unaudited)</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6">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9">
              <w:r>
                <w:rPr>
                  <w:rStyle w:val="InternetLink"/>
                  <w:rFonts w:ascii="Times New Roman;sans-serif" w:hAnsi="Times New Roman;sans-serif"/>
                  <w:b w:val="false"/>
                  <w:color w:val="0000FF"/>
                  <w:sz w:val="20"/>
                  <w:u w:val="single"/>
                </w:rPr>
                <w:t>Consolidated Balance Sheets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9">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22">
              <w:r>
                <w:rPr>
                  <w:rStyle w:val="InternetLink"/>
                  <w:rFonts w:ascii="Times New Roman;sans-serif" w:hAnsi="Times New Roman;sans-serif"/>
                  <w:b w:val="false"/>
                  <w:color w:val="000080"/>
                  <w:sz w:val="20"/>
                  <w:u w:val="single"/>
                </w:rPr>
                <w:t>Consolidated Statements of</w:t>
              </w:r>
            </w:hyperlink>
            <w:hyperlink w:anchor="i3001de0a26774a099bedae12d70f2099_25">
              <w:r>
                <w:rPr>
                  <w:rStyle w:val="InternetLink"/>
                  <w:rFonts w:ascii="Times New Roman;sans-serif" w:hAnsi="Times New Roman;sans-serif"/>
                  <w:b w:val="false"/>
                  <w:color w:val="000080"/>
                  <w:sz w:val="20"/>
                  <w:u w:val="single"/>
                </w:rPr>
                <w:t xml:space="preserve">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22">
              <w:r>
                <w:rPr>
                  <w:rStyle w:val="InternetLink"/>
                  <w:rFonts w:ascii="Times New Roman;sans-serif" w:hAnsi="Times New Roman;sans-serif"/>
                  <w:b w:val="false"/>
                  <w:strike w:val="false"/>
                  <w:dstrike w:val="false"/>
                  <w:color w:val="000000"/>
                  <w:sz w:val="20"/>
                  <w:u w:val="none"/>
                  <w:effect w:val="none"/>
                </w:rPr>
                <w:t>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25">
              <w:r>
                <w:rPr>
                  <w:rStyle w:val="InternetLink"/>
                  <w:rFonts w:ascii="Times New Roman;sans-serif" w:hAnsi="Times New Roman;sans-serif"/>
                  <w:b w:val="false"/>
                  <w:color w:val="0000FF"/>
                  <w:sz w:val="20"/>
                  <w:u w:val="single"/>
                </w:rPr>
                <w:t>Consolidated Statements of Comprehensive Loss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25">
              <w:r>
                <w:rPr>
                  <w:rStyle w:val="InternetLink"/>
                  <w:rFonts w:ascii="Times New Roman;sans-serif" w:hAnsi="Times New Roman;sans-serif"/>
                  <w:b w:val="false"/>
                  <w:strike w:val="false"/>
                  <w:dstrike w:val="false"/>
                  <w:color w:val="000000"/>
                  <w:sz w:val="20"/>
                  <w:u w:val="none"/>
                  <w:effect w:val="none"/>
                </w:rPr>
                <w:t>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28">
              <w:r>
                <w:rPr>
                  <w:rStyle w:val="InternetLink"/>
                  <w:rFonts w:ascii="Times New Roman;sans-serif" w:hAnsi="Times New Roman;sans-serif"/>
                  <w:b w:val="false"/>
                  <w:color w:val="0000FF"/>
                  <w:sz w:val="20"/>
                  <w:u w:val="single"/>
                </w:rPr>
                <w:t>Consolidated Statements of Changes in Stockholders' Equity</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28">
              <w:r>
                <w:rPr>
                  <w:rStyle w:val="InternetLink"/>
                  <w:rFonts w:ascii="Times New Roman;sans-serif" w:hAnsi="Times New Roman;sans-serif"/>
                  <w:b w:val="false"/>
                  <w:strike w:val="false"/>
                  <w:dstrike w:val="false"/>
                  <w:color w:val="000000"/>
                  <w:sz w:val="20"/>
                  <w:u w:val="none"/>
                  <w:effect w:val="none"/>
                </w:rPr>
                <w:t>9</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31">
              <w:r>
                <w:rPr>
                  <w:rStyle w:val="InternetLink"/>
                  <w:rFonts w:ascii="Times New Roman;sans-serif" w:hAnsi="Times New Roman;sans-serif"/>
                  <w:b w:val="false"/>
                  <w:color w:val="0000FF"/>
                  <w:sz w:val="20"/>
                  <w:u w:val="single"/>
                </w:rPr>
                <w:t>Consolidated Statements of Cash Flows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31">
              <w:r>
                <w:rPr>
                  <w:rStyle w:val="InternetLink"/>
                  <w:rFonts w:ascii="Times New Roman;sans-serif" w:hAnsi="Times New Roman;sans-serif"/>
                  <w:b w:val="false"/>
                  <w:strike w:val="false"/>
                  <w:dstrike w:val="false"/>
                  <w:color w:val="000000"/>
                  <w:sz w:val="20"/>
                  <w:u w:val="none"/>
                  <w:effect w:val="none"/>
                </w:rPr>
                <w:t>11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34">
              <w:r>
                <w:rPr>
                  <w:rStyle w:val="InternetLink"/>
                  <w:rFonts w:ascii="Times New Roman;sans-serif" w:hAnsi="Times New Roman;sans-serif"/>
                  <w:b w:val="false"/>
                  <w:color w:val="0000FF"/>
                  <w:sz w:val="20"/>
                  <w:u w:val="single"/>
                </w:rPr>
                <w:t>Notes to Unaudited Consolidated Financial Statements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34">
              <w:r>
                <w:rPr>
                  <w:rStyle w:val="InternetLink"/>
                  <w:rFonts w:ascii="Times New Roman;sans-serif" w:hAnsi="Times New Roman;sans-serif"/>
                  <w:b w:val="false"/>
                  <w:strike w:val="false"/>
                  <w:dstrike w:val="false"/>
                  <w:color w:val="000000"/>
                  <w:sz w:val="20"/>
                  <w:u w:val="none"/>
                  <w:effect w:val="none"/>
                </w:rPr>
                <w:t>12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79">
              <w:r>
                <w:rPr>
                  <w:rStyle w:val="InternetLink"/>
                  <w:rFonts w:ascii="Times New Roman;sans-serif" w:hAnsi="Times New Roman;sans-serif"/>
                  <w:b w:val="false"/>
                  <w:strike w:val="false"/>
                  <w:dstrike w:val="false"/>
                  <w:color w:val="000000"/>
                  <w:sz w:val="20"/>
                  <w:u w:val="none"/>
                  <w:effect w:val="none"/>
                </w:rPr>
                <w:t>23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97">
              <w:r>
                <w:rPr>
                  <w:rStyle w:val="InternetLink"/>
                  <w:rFonts w:ascii="Times New Roman;sans-serif" w:hAnsi="Times New Roman;sans-serif"/>
                  <w:b w:val="false"/>
                  <w:color w:val="0000FF"/>
                  <w:sz w:val="20"/>
                  <w:u w:val="single"/>
                </w:rPr>
                <w:t>Quantitative and Qualitative Disclosures About Market Risk</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97">
              <w:r>
                <w:rPr>
                  <w:rStyle w:val="InternetLink"/>
                  <w:rFonts w:ascii="Times New Roman;sans-serif" w:hAnsi="Times New Roman;sans-serif"/>
                  <w:b w:val="false"/>
                  <w:strike w:val="false"/>
                  <w:dstrike w:val="false"/>
                  <w:color w:val="000000"/>
                  <w:sz w:val="20"/>
                  <w:u w:val="none"/>
                  <w:effect w:val="none"/>
                </w:rPr>
                <w:t>32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00">
              <w:r>
                <w:rPr>
                  <w:rStyle w:val="InternetLink"/>
                  <w:rFonts w:ascii="Times New Roman;sans-serif" w:hAnsi="Times New Roman;sans-serif"/>
                  <w:b w:val="false"/>
                  <w:color w:val="0000FF"/>
                  <w:sz w:val="20"/>
                  <w:u w:val="single"/>
                </w:rPr>
                <w:t>Controls and Procedures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00">
              <w:r>
                <w:rPr>
                  <w:rStyle w:val="InternetLink"/>
                  <w:rFonts w:ascii="Times New Roman;sans-serif" w:hAnsi="Times New Roman;sans-serif"/>
                  <w:b w:val="false"/>
                  <w:strike w:val="false"/>
                  <w:dstrike w:val="false"/>
                  <w:color w:val="000000"/>
                  <w:sz w:val="20"/>
                  <w:u w:val="none"/>
                  <w:effect w:val="none"/>
                </w:rPr>
                <w:t>33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001de0a26774a099bedae12d70f2099_103">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06">
              <w:r>
                <w:rPr>
                  <w:rStyle w:val="InternetLink"/>
                  <w:rFonts w:ascii="Times New Roman;sans-serif" w:hAnsi="Times New Roman;sans-serif"/>
                  <w:b w:val="false"/>
                  <w:color w:val="0000FF"/>
                  <w:sz w:val="20"/>
                  <w:u w:val="single"/>
                </w:rPr>
                <w:t>Legal Proceedings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06">
              <w:r>
                <w:rPr>
                  <w:rStyle w:val="InternetLink"/>
                  <w:rFonts w:ascii="Times New Roman;sans-serif" w:hAnsi="Times New Roman;sans-serif"/>
                  <w:b w:val="false"/>
                  <w:strike w:val="false"/>
                  <w:dstrike w:val="false"/>
                  <w:color w:val="000000"/>
                  <w:sz w:val="20"/>
                  <w:u w:val="none"/>
                  <w:effect w:val="none"/>
                </w:rPr>
                <w:t>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09">
              <w:r>
                <w:rPr>
                  <w:rStyle w:val="InternetLink"/>
                  <w:rFonts w:ascii="Times New Roman;sans-serif" w:hAnsi="Times New Roman;sans-serif"/>
                  <w:b w:val="false"/>
                  <w:color w:val="0000FF"/>
                  <w:sz w:val="20"/>
                  <w:u w:val="single"/>
                </w:rPr>
                <w:t>Risk Factors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09">
              <w:r>
                <w:rPr>
                  <w:rStyle w:val="InternetLink"/>
                  <w:rFonts w:ascii="Times New Roman;sans-serif" w:hAnsi="Times New Roman;sans-serif"/>
                  <w:b w:val="false"/>
                  <w:strike w:val="false"/>
                  <w:dstrike w:val="false"/>
                  <w:color w:val="000000"/>
                  <w:sz w:val="20"/>
                  <w:u w:val="none"/>
                  <w:effect w:val="none"/>
                </w:rPr>
                <w:t>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12">
              <w:r>
                <w:rPr>
                  <w:rStyle w:val="InternetLink"/>
                  <w:rFonts w:ascii="Times New Roman;sans-serif" w:hAnsi="Times New Roman;sans-serif"/>
                  <w:b w:val="false"/>
                  <w:color w:val="0000FF"/>
                  <w:sz w:val="20"/>
                  <w:u w:val="single"/>
                </w:rPr>
                <w:t>Unregistered Sales of Equity Securities and Use of Proceeds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12">
              <w:r>
                <w:rPr>
                  <w:rStyle w:val="InternetLink"/>
                  <w:rFonts w:ascii="Times New Roman;sans-serif" w:hAnsi="Times New Roman;sans-serif"/>
                  <w:b w:val="false"/>
                  <w:strike w:val="false"/>
                  <w:dstrike w:val="false"/>
                  <w:color w:val="000000"/>
                  <w:sz w:val="20"/>
                  <w:u w:val="none"/>
                  <w:effect w:val="none"/>
                </w:rPr>
                <w:t>36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15">
              <w:r>
                <w:rPr>
                  <w:rStyle w:val="InternetLink"/>
                  <w:rFonts w:ascii="Times New Roman;sans-serif" w:hAnsi="Times New Roman;sans-serif"/>
                  <w:b w:val="false"/>
                  <w:color w:val="0000FF"/>
                  <w:sz w:val="20"/>
                  <w:u w:val="single"/>
                </w:rPr>
                <w:t>Defaults Upon Senior Securities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15">
              <w:r>
                <w:rPr>
                  <w:rStyle w:val="InternetLink"/>
                  <w:rFonts w:ascii="Times New Roman;sans-serif" w:hAnsi="Times New Roman;sans-serif"/>
                  <w:b w:val="false"/>
                  <w:strike w:val="false"/>
                  <w:dstrike w:val="false"/>
                  <w:color w:val="000000"/>
                  <w:sz w:val="20"/>
                  <w:u w:val="none"/>
                  <w:effect w:val="none"/>
                </w:rPr>
                <w:t>36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18">
              <w:r>
                <w:rPr>
                  <w:rStyle w:val="InternetLink"/>
                  <w:rFonts w:ascii="Times New Roman;sans-serif" w:hAnsi="Times New Roman;sans-serif"/>
                  <w:b w:val="false"/>
                  <w:color w:val="0000FF"/>
                  <w:sz w:val="20"/>
                  <w:u w:val="single"/>
                </w:rPr>
                <w:t>Mine Safety Disclosures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18">
              <w:r>
                <w:rPr>
                  <w:rStyle w:val="InternetLink"/>
                  <w:rFonts w:ascii="Times New Roman;sans-serif" w:hAnsi="Times New Roman;sans-serif"/>
                  <w:b w:val="false"/>
                  <w:strike w:val="false"/>
                  <w:dstrike w:val="false"/>
                  <w:color w:val="000000"/>
                  <w:sz w:val="20"/>
                  <w:u w:val="none"/>
                  <w:effect w:val="none"/>
                </w:rPr>
                <w:t>36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21">
              <w:r>
                <w:rPr>
                  <w:rStyle w:val="InternetLink"/>
                  <w:rFonts w:ascii="Times New Roman;sans-serif" w:hAnsi="Times New Roman;sans-serif"/>
                  <w:b w:val="false"/>
                  <w:color w:val="0000FF"/>
                  <w:sz w:val="20"/>
                  <w:u w:val="single"/>
                </w:rPr>
                <w:t>Other Information</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21">
              <w:r>
                <w:rPr>
                  <w:rStyle w:val="InternetLink"/>
                  <w:rFonts w:ascii="Times New Roman;sans-serif" w:hAnsi="Times New Roman;sans-serif"/>
                  <w:b w:val="false"/>
                  <w:strike w:val="false"/>
                  <w:dstrike w:val="false"/>
                  <w:color w:val="000000"/>
                  <w:sz w:val="20"/>
                  <w:u w:val="none"/>
                  <w:effect w:val="none"/>
                </w:rPr>
                <w:t>36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24">
              <w:r>
                <w:rPr>
                  <w:rStyle w:val="InternetLink"/>
                  <w:rFonts w:ascii="Times New Roman;sans-serif" w:hAnsi="Times New Roman;sans-serif"/>
                  <w:b w:val="false"/>
                  <w:color w:val="0000FF"/>
                  <w:sz w:val="20"/>
                  <w:u w:val="single"/>
                </w:rPr>
                <w:t>Exhibits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24">
              <w:r>
                <w:rPr>
                  <w:rStyle w:val="InternetLink"/>
                  <w:rFonts w:ascii="Times New Roman;sans-serif" w:hAnsi="Times New Roman;sans-serif"/>
                  <w:b w:val="false"/>
                  <w:strike w:val="false"/>
                  <w:dstrike w:val="false"/>
                  <w:color w:val="000000"/>
                  <w:sz w:val="20"/>
                  <w:u w:val="none"/>
                  <w:effect w:val="none"/>
                </w:rPr>
                <w:t>36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001de0a26774a099bedae12d70f2099_127">
              <w:r>
                <w:rPr>
                  <w:rStyle w:val="InternetLink"/>
                  <w:rFonts w:ascii="Times New Roman;sans-serif" w:hAnsi="Times New Roman;sans-serif"/>
                  <w:b w:val="false"/>
                  <w:color w:val="0000FF"/>
                  <w:sz w:val="20"/>
                  <w:u w:val="single"/>
                </w:rPr>
                <w:t>Signature</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1de0a26774a099bedae12d70f2099_127">
              <w:r>
                <w:rPr>
                  <w:rStyle w:val="InternetLink"/>
                  <w:rFonts w:ascii="Times New Roman;sans-serif" w:hAnsi="Times New Roman;sans-serif"/>
                  <w:b w:val="false"/>
                  <w:strike w:val="false"/>
                  <w:dstrike w:val="false"/>
                  <w:color w:val="000000"/>
                  <w:sz w:val="20"/>
                  <w:u w:val="none"/>
                  <w:effect w:val="non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Special Cautionary Note Regarding Forward-Looking Statements</w:t>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Report on Form 10-Q and the documents incorporated herein by reference, and our other public documents and statements our officers and representatives may make from time to time, contain forward-looking statements within the meaning of the federal securities laws. These statements are therefore entitled to the protection of the safe harbor provisions of these laws. You can find many of these statements by looking for words such as "may," "would," "could," "should," "will," "expect," "anticipate," "predict," "project," "potential," "continue," "contemplate," "seek," "assume," "believe," "intend," "plan," "forecast," "goal," "estimate," or other similar expressions which identify these forward-looking statements.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forward-looking statements involve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and uncertainties that are difficult to predict, and that actual results and outcomes may be materially different from the results or outcomes expressed or implied by any of our forward-looking statements for a variety of reasons, including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 recession, other economic downturns, inflation, high interest rates, our increasing exposure to the U.S. housing market, or other changes in U.S. and global economic conditions or U.S. consumer spending;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we may encounter as a result of our reliance on third-parties that we do not control for the performance of critical functions material to our business, such as carriers, fulfillment partners, and SaaS/IaaS providers;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compete successfully against existing or future competitors or to effectively market our business and generate customer traffic;</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any increases in the price of importing into the U.S. or transporting to our customers the types of merchandise we sell or other supply chain challenges that limit our ability to deliver merchandise to our customers in a timely manner;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or other negative consequences we may encounter as a result of our purchase, implementation, integration, or use of the Bed Bath &amp; Beyond brand and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or negative consequences we may encounter as a result of changing our company name, our company stock ticker symbol, or the stock exchange on which our common stock trades;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negative impact we may experience as a result of shareholder activism;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attract and/or retain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generate and maintain unpaid natural traffic to our Website;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optimize and effectively operate our distribution center, warehouse, and customer service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maintain profitability and/or generate positive cash flow from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negative impact from our workforce working on a remote, in-office, or hybrid schedule;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challenges that would result in the event of any loss of functionality or unavailability of our Website or reduced performance of our transaction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exposure to cyber-security risks, risks of data loss and other security breaches;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risk that we may be required to recognize losses relating to our equity and debt investments;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i/>
          <w:color w:val="000000"/>
          <w:sz w:val="20"/>
        </w:rPr>
        <w:t>the impacts that we would experience if governmental entities or providers of consumer devices and internet browsers further restrict or regulate the use of "cookie" tracking technologies;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i/>
          <w:color w:val="000000"/>
          <w:sz w:val="20"/>
        </w:rPr>
        <w:t>the impact that any litigation, claims, or regulatory matters could have on our business, financial condition, results of operations, and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negative economic consequences of various global conflicts;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possibility that we may be unable to protect our proprietary technology and to obtain trademark protection for our marks;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current and future claims of intellectual property infringement to which we are subject;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we may encounter as a result of our reliance on third-parties that we do not control for their representations regarding product compliance with various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problems associated with our lack of visibility into, and our lack of influence over, our equity method investments, including our reliance on third-parties to timely and accurately report material events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we may encounter as a result of our evolving business practices, including our exit from non-home categories and our continuing expansion into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any inability of Pelion Venture Partners to successfully manage the Medici Ventures, L.P. fund, in which we are the limited partner, or any other entity in which we also have a direct minority interest;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risk that the amount of deferred tax assets we consider realizable could be reduced if estimates of future taxable income during the carryforward period are reduced;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other risks described in this report or in our other public filings.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In evaluating all forward-looking statements, you should specifically consider the risks outlined above and in this report, especially under the headings "Special Cautionary Note Regarding Forward-Looking Statements,"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91" w:type="dxa"/>
        <w:jc w:val="center"/>
        <w:tblInd w:w="0" w:type="dxa"/>
        <w:tblLayout w:type="fixed"/>
        <w:tblCellMar>
          <w:top w:w="28" w:type="dxa"/>
          <w:left w:w="28" w:type="dxa"/>
          <w:bottom w:w="28" w:type="dxa"/>
          <w:right w:w="28" w:type="dxa"/>
        </w:tblCellMar>
      </w:tblPr>
      <w:tblGrid>
        <w:gridCol w:w="2518"/>
        <w:gridCol w:w="2222"/>
        <w:gridCol w:w="2250"/>
        <w:gridCol w:w="253"/>
        <w:gridCol w:w="993"/>
        <w:gridCol w:w="131"/>
        <w:gridCol w:w="131"/>
        <w:gridCol w:w="131"/>
        <w:gridCol w:w="131"/>
        <w:gridCol w:w="253"/>
        <w:gridCol w:w="993"/>
        <w:gridCol w:w="185"/>
      </w:tblGrid>
      <w:tr>
        <w:trPr/>
        <w:tc>
          <w:tcPr>
            <w:tcW w:w="2518"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191"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$1,839 and $3,223</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375,729 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414,509 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including securities measured at fair value of $41,091 and $82,823</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878,546 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232,720 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1"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Continued on the following page</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54"/>
        <w:gridCol w:w="2239"/>
        <w:gridCol w:w="2250"/>
        <w:gridCol w:w="249"/>
        <w:gridCol w:w="980"/>
        <w:gridCol w:w="129"/>
        <w:gridCol w:w="129"/>
        <w:gridCol w:w="129"/>
        <w:gridCol w:w="129"/>
        <w:gridCol w:w="249"/>
        <w:gridCol w:w="980"/>
        <w:gridCol w:w="188"/>
      </w:tblGrid>
      <w:tr>
        <w:trPr/>
        <w:tc>
          <w:tcPr>
            <w:tcW w:w="2554"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authorized shares - 5,000, issued and outstanding - none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authorized shares - 100,000</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shares - 51,585 and 51,102</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shares - 45,305 and 44,951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(320,678)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- 6,280 and 6,151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516,184 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645,826 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770,784 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878,546 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71"/>
        <w:gridCol w:w="1368"/>
        <w:gridCol w:w="13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7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13"/>
        <w:gridCol w:w="1480"/>
        <w:gridCol w:w="1508"/>
        <w:gridCol w:w="211"/>
        <w:gridCol w:w="772"/>
        <w:gridCol w:w="109"/>
        <w:gridCol w:w="109"/>
        <w:gridCol w:w="109"/>
        <w:gridCol w:w="109"/>
        <w:gridCol w:w="211"/>
        <w:gridCol w:w="772"/>
        <w:gridCol w:w="109"/>
        <w:gridCol w:w="109"/>
        <w:gridCol w:w="109"/>
        <w:gridCol w:w="109"/>
        <w:gridCol w:w="211"/>
        <w:gridCol w:w="877"/>
        <w:gridCol w:w="109"/>
        <w:gridCol w:w="109"/>
        <w:gridCol w:w="109"/>
        <w:gridCol w:w="109"/>
        <w:gridCol w:w="211"/>
        <w:gridCol w:w="772"/>
        <w:gridCol w:w="159"/>
      </w:tblGrid>
      <w:tr>
        <w:trPr/>
        <w:tc>
          <w:tcPr>
            <w:tcW w:w="171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 net of expense for taxes of $0, $0, $0, and $0</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70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66"/>
        <w:gridCol w:w="1465"/>
        <w:gridCol w:w="1468"/>
        <w:gridCol w:w="309"/>
        <w:gridCol w:w="574"/>
        <w:gridCol w:w="154"/>
        <w:gridCol w:w="154"/>
        <w:gridCol w:w="154"/>
        <w:gridCol w:w="154"/>
        <w:gridCol w:w="309"/>
        <w:gridCol w:w="574"/>
        <w:gridCol w:w="154"/>
        <w:gridCol w:w="154"/>
        <w:gridCol w:w="154"/>
        <w:gridCol w:w="154"/>
        <w:gridCol w:w="309"/>
        <w:gridCol w:w="574"/>
        <w:gridCol w:w="154"/>
        <w:gridCol w:w="154"/>
        <w:gridCol w:w="154"/>
        <w:gridCol w:w="154"/>
        <w:gridCol w:w="309"/>
        <w:gridCol w:w="574"/>
        <w:gridCol w:w="226"/>
      </w:tblGrid>
      <w:tr>
        <w:trPr/>
        <w:tc>
          <w:tcPr>
            <w:tcW w:w="166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ableContents"/>
              <w:bidi w:val="0"/>
              <w:spacing w:before="0" w:after="0"/>
              <w:jc w:val="center"/>
              <w:rPr/>
            </w:pPr>
            <w:r>
              <w:rPr/>
            </w:r>
          </w:p>
        </w:tc>
      </w:tr>
      <w:tr>
        <w:trPr/>
        <w:tc>
          <w:tcPr>
            <w:tcW w:w="4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attributable to stockholders of Overstock.com, Inc.</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issued</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issued upon vesting of restricted stock </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treasury stock</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upon vesting of employee stock awards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outstanding</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Series A-1 preferred stock issued</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treasury stock</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shares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Series A-1 preferred stock outstanding</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Series B preferred stock issued and outstanding</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Continued on the following page</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89"/>
        <w:gridCol w:w="1294"/>
        <w:gridCol w:w="1301"/>
        <w:gridCol w:w="211"/>
        <w:gridCol w:w="976"/>
        <w:gridCol w:w="109"/>
        <w:gridCol w:w="109"/>
        <w:gridCol w:w="109"/>
        <w:gridCol w:w="109"/>
        <w:gridCol w:w="211"/>
        <w:gridCol w:w="880"/>
        <w:gridCol w:w="109"/>
        <w:gridCol w:w="109"/>
        <w:gridCol w:w="109"/>
        <w:gridCol w:w="109"/>
        <w:gridCol w:w="211"/>
        <w:gridCol w:w="976"/>
        <w:gridCol w:w="109"/>
        <w:gridCol w:w="109"/>
        <w:gridCol w:w="109"/>
        <w:gridCol w:w="109"/>
        <w:gridCol w:w="211"/>
        <w:gridCol w:w="880"/>
        <w:gridCol w:w="157"/>
      </w:tblGrid>
      <w:tr>
        <w:trPr/>
        <w:tc>
          <w:tcPr>
            <w:tcW w:w="15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ableContents"/>
              <w:bidi w:val="0"/>
              <w:spacing w:before="0" w:after="0"/>
              <w:jc w:val="center"/>
              <w:rPr/>
            </w:pPr>
            <w:r>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issued upon conversion and elimination of preferred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(158,318)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6021" w:type="dxa"/>
            <w:gridSpan w:val="21"/>
            <w:tcBorders/>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198" w:type="dxa"/>
            <w:gridSpan w:val="12"/>
            <w:tcBorders/>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and Series A-1 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withholding upon vesting of employee stock awards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676,645 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86"/>
        <w:gridCol w:w="1836"/>
        <w:gridCol w:w="1838"/>
        <w:gridCol w:w="214"/>
        <w:gridCol w:w="415"/>
        <w:gridCol w:w="1762"/>
        <w:gridCol w:w="214"/>
        <w:gridCol w:w="214"/>
        <w:gridCol w:w="214"/>
        <w:gridCol w:w="214"/>
        <w:gridCol w:w="211"/>
        <w:gridCol w:w="826"/>
        <w:gridCol w:w="161"/>
      </w:tblGrid>
      <w:tr>
        <w:trPr/>
        <w:tc>
          <w:tcPr>
            <w:tcW w:w="208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007"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ableContents"/>
              <w:bidi w:val="0"/>
              <w:spacing w:before="0" w:after="0"/>
              <w:jc w:val="center"/>
              <w:rPr/>
            </w:pPr>
            <w:r>
              <w:rPr/>
            </w:r>
          </w:p>
        </w:tc>
        <w:tc>
          <w:tcPr>
            <w:tcW w:w="1198" w:type="dxa"/>
            <w:gridSpan w:val="3"/>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deferred tax assets, net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securities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Disbursement for notes receivable</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equity securities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distribution from investment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property and equipment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4445" w:type="dxa"/>
            <w:gridSpan w:val="10"/>
            <w:tcBorders/>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1840" w:type="dxa"/>
            <w:gridSpan w:val="6"/>
            <w:tcBorders/>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taxes withheld upon vesting of employee stock awards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(45,984)</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214" w:type="dxa"/>
            <w:tcBorders/>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325,473 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Overstock.com, Inc. is a technology-focused innovator based in Midvale, Utah and owner of the Bed Bath &amp; Beyond brand and other intellectual property related to the brand. Bed Bath &amp; Beyond is an online home furnishings and furniture retailer in the United States and Canada. Our online shopping site sells a broad range of new home products at low prices, including furniture, décor, area rugs, bedding and bath, home improvement, and more. Our online shopping site features millions of products that tens of millions of customers visit each month.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used herein, "Overstock," "the Company," "we," "our" and similar terms include Overstock.com, Inc. and its controlled subsidiaries, unless the context indicates otherwise. As used herein, the term "Website" refers to the Company's online shopping sites located at www.bedbathandbeyond.com, www.bedbathandbeyond.ca, www.overstockgovernment.com, and the Company's mobile app.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our audited annual consolidated financial statements and related notes included in our Annual Report on Form 10-K for the year ended December 31, 2022. There have been no significant changes to our significant accounting policies disclosed in Note 2—Accounting Policies, included in Part II, Item 8, Financial Statements and Supplementary Data, of our Annual Report on Form 10-K for the year ended December 31,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include our accounts and the accounts of our wholly-owned subsidiaries and reflect all adjustments, consisting only of normal recurring adjustments, which are, in our opinion, necessary for a fair presentation of results for the interim periods presented. All intercompany account balances and transactions have been eliminated in consolidation. The results of operations for the three and nine months ended September 30, 2023 are not necessarily indicative of the results to be expected for any future period or the full fiscal year, due to seasonality and other factors.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Available-for-sale debt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invested $10.0 million in GrainChain, Inc. in the form of a convertible promissory note (the "Note"). The Note bears interest at an annual interest rate of 5% and accrued interest is recorded in Interest income, net in our consolidated statements of operations. The Note has a maturity date of January 3, 2025 at which time the outstanding principal and any unpaid accrued interest will automatically convert into shares of a newly created series of preferred stock issued by GrainChain, Inc. unless converted earlier under limited circumstances. The fair value of the Note, including accrued interest, was $10.4 million at September 30, 2023, which is included in Other long-term assets, net on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nature of our indirect ownership interests in GrainChain, Inc. through Medici Ventures, L.P. and the extent of our contributed capital, we held a variable interest in GrainChain, Inc., which meets the definition of a variable interest entity; however, we are not the primary beneficiary of this entity for purposes of consolidation as we do not have the power (either explicit or implicit), through voting rights or otherwise, to direct the activities of GrainChain, Inc. that most significantly impact its economic performance. Our maximum exposure to loss in this variable interest entity totaled $27.8 million as of September 30, 2023, representing our direct and indirect interest in GrainChain, Inc.</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other than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and amortize intangible assets other than goodwill over their estimated useful lives unless such lives are indefinite. Intangible assets other than goodwill acquired separately from third parties are capitalized at cost, including any related direct acquisition costs, while such assets acquired as part of a business combination are capitalized at their acquisition-date fair value. Indefinite-lived intangible assets are tested for impairment annually or more frequently when events or circumstances indicate that the carrying value more likely than not exceeds its fair value. In addition, we routinely evaluate the remaining useful life of intangible assets not being amortized to determine whether events or circumstances continue to support an indefinite useful life, including any legal, regulatory, contractual, competitive, economic, or other factors that may limit their useful lives. Definite lived intangible assets are amortized using the straight-line method of amortization over their useful lives, with the exception of certain intangibles (such as acquired customer lists) which are amortized using an accelerated method of amortization based on estimated customer attrition rates. These definite lived intangible assets are reviewed for impairment whenever events or changes in circumstances indicate that their carrying amount may not be recoverable.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3. FAIR VALUE MEASUREMENT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assets and liabilities measured at fair value on a recurring basis using the following levels of inputs (in thousands): </w:t>
      </w:r>
    </w:p>
    <w:tbl>
      <w:tblPr>
        <w:tblW w:w="9010" w:type="dxa"/>
        <w:jc w:val="left"/>
        <w:tblInd w:w="0" w:type="dxa"/>
        <w:tblLayout w:type="fixed"/>
        <w:tblCellMar>
          <w:top w:w="28" w:type="dxa"/>
          <w:left w:w="28" w:type="dxa"/>
          <w:bottom w:w="28" w:type="dxa"/>
          <w:right w:w="28" w:type="dxa"/>
        </w:tblCellMar>
      </w:tblPr>
      <w:tblGrid>
        <w:gridCol w:w="1412"/>
        <w:gridCol w:w="1245"/>
        <w:gridCol w:w="1258"/>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September 30, 2023</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securities held in a "rabbi trust"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accrual "rabbi trust"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color w:val="000000"/>
        </w:rPr>
      </w:pPr>
      <w:r>
        <w:rPr>
          <w:color w:val="000000"/>
        </w:rPr>
        <w:t> </w:t>
      </w:r>
    </w:p>
    <w:tbl>
      <w:tblPr>
        <w:tblW w:w="9010" w:type="dxa"/>
        <w:jc w:val="left"/>
        <w:tblInd w:w="0" w:type="dxa"/>
        <w:tblLayout w:type="fixed"/>
        <w:tblCellMar>
          <w:top w:w="28" w:type="dxa"/>
          <w:left w:w="28" w:type="dxa"/>
          <w:bottom w:w="28" w:type="dxa"/>
          <w:right w:w="28" w:type="dxa"/>
        </w:tblCellMar>
      </w:tblPr>
      <w:tblGrid>
        <w:gridCol w:w="1412"/>
        <w:gridCol w:w="1245"/>
        <w:gridCol w:w="1258"/>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securities held in a "rabbi trust"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accrual "rabbi trust"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Prepaids and other current assets and Other long-term assets, net in the consolidated balance sheets.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Included in Accrued liabilities and Other long-term liabilities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activity for our Level 3 investments (in thousands):</w:t>
      </w:r>
    </w:p>
    <w:tbl>
      <w:tblPr>
        <w:tblW w:w="5255" w:type="dxa"/>
        <w:jc w:val="center"/>
        <w:tblInd w:w="0" w:type="dxa"/>
        <w:tblLayout w:type="fixed"/>
        <w:tblCellMar>
          <w:top w:w="28" w:type="dxa"/>
          <w:left w:w="28" w:type="dxa"/>
          <w:bottom w:w="28" w:type="dxa"/>
          <w:right w:w="28" w:type="dxa"/>
        </w:tblCellMar>
      </w:tblPr>
      <w:tblGrid>
        <w:gridCol w:w="1472"/>
        <w:gridCol w:w="1294"/>
        <w:gridCol w:w="1298"/>
        <w:gridCol w:w="211"/>
        <w:gridCol w:w="826"/>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purchases of Level 3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Level 3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2022</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purchases of Level 3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Level 3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Level 3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4. PROPERTY AND EQUIPMENT,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tbl>
      <w:tblPr>
        <w:tblW w:w="10205" w:type="dxa"/>
        <w:jc w:val="center"/>
        <w:tblInd w:w="0" w:type="dxa"/>
        <w:tblLayout w:type="fixed"/>
        <w:tblCellMar>
          <w:top w:w="28" w:type="dxa"/>
          <w:left w:w="28" w:type="dxa"/>
          <w:bottom w:w="28" w:type="dxa"/>
          <w:right w:w="28" w:type="dxa"/>
        </w:tblCellMar>
      </w:tblPr>
      <w:tblGrid>
        <w:gridCol w:w="2640"/>
        <w:gridCol w:w="2312"/>
        <w:gridCol w:w="2325"/>
        <w:gridCol w:w="238"/>
        <w:gridCol w:w="936"/>
        <w:gridCol w:w="123"/>
        <w:gridCol w:w="109"/>
        <w:gridCol w:w="109"/>
        <w:gridCol w:w="109"/>
        <w:gridCol w:w="230"/>
        <w:gridCol w:w="902"/>
        <w:gridCol w:w="172"/>
      </w:tblGrid>
      <w:tr>
        <w:trPr/>
        <w:tc>
          <w:tcPr>
            <w:tcW w:w="2640"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 including internal-use software and website development</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246,875 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machinery and equipment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358,556 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354,676 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(244,770)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tbl>
      <w:tblPr>
        <w:tblW w:w="9989" w:type="dxa"/>
        <w:jc w:val="center"/>
        <w:tblInd w:w="0" w:type="dxa"/>
        <w:tblLayout w:type="fixed"/>
        <w:tblCellMar>
          <w:top w:w="28" w:type="dxa"/>
          <w:left w:w="28" w:type="dxa"/>
          <w:bottom w:w="28" w:type="dxa"/>
          <w:right w:w="28" w:type="dxa"/>
        </w:tblCellMar>
      </w:tblPr>
      <w:tblGrid>
        <w:gridCol w:w="1892"/>
        <w:gridCol w:w="1659"/>
        <w:gridCol w:w="166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internal-use software and website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is classified within the corresponding operating expense categories on our consolidated statements of operations as follows (in thousands): </w:t>
      </w:r>
    </w:p>
    <w:tbl>
      <w:tblPr>
        <w:tblW w:w="7289" w:type="dxa"/>
        <w:jc w:val="center"/>
        <w:tblInd w:w="0" w:type="dxa"/>
        <w:tblLayout w:type="fixed"/>
        <w:tblCellMar>
          <w:top w:w="28" w:type="dxa"/>
          <w:left w:w="28" w:type="dxa"/>
          <w:bottom w:w="28" w:type="dxa"/>
          <w:right w:w="28" w:type="dxa"/>
        </w:tblCellMar>
      </w:tblPr>
      <w:tblGrid>
        <w:gridCol w:w="836"/>
        <w:gridCol w:w="734"/>
        <w:gridCol w:w="73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12, 2023, we entered into an Asset Purchase Agreement with Bed Bath &amp; Beyond Inc. ("BBBY"), and certain subsidiaries, to acquire certain intellectual property related to the Bed Bath &amp; Beyond banner from BBBY. On June 27, 2023, under a Bankruptcy Court supervised process, the U.S. Bankruptcy Court for the District of New Jersey approved the sale of the assets to the Company and on June 28, 2023, BBBY delivered the intellectual property assets via an Intellectual Property Assignment Agreement. The total purchase price, inclusive of direct acquisition-related expenses totaled $25.6 million which has been allocated to two major asset categories consisting of $21.8 million for trade names with an indefinite useful life and $3.8 million for customers lists with an estimated useful life of five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 of the following (in thousands):</w:t>
      </w:r>
    </w:p>
    <w:tbl>
      <w:tblPr>
        <w:tblW w:w="7240" w:type="dxa"/>
        <w:jc w:val="left"/>
        <w:tblInd w:w="0" w:type="dxa"/>
        <w:tblLayout w:type="fixed"/>
        <w:tblCellMar>
          <w:top w:w="28" w:type="dxa"/>
          <w:left w:w="28" w:type="dxa"/>
          <w:bottom w:w="28" w:type="dxa"/>
          <w:right w:w="28" w:type="dxa"/>
        </w:tblCellMar>
      </w:tblPr>
      <w:tblGrid>
        <w:gridCol w:w="1559"/>
        <w:gridCol w:w="1369"/>
        <w:gridCol w:w="1376"/>
        <w:gridCol w:w="264"/>
        <w:gridCol w:w="904"/>
        <w:gridCol w:w="136"/>
        <w:gridCol w:w="109"/>
        <w:gridCol w:w="109"/>
        <w:gridCol w:w="109"/>
        <w:gridCol w:w="280"/>
        <w:gridCol w:w="819"/>
        <w:gridCol w:w="206"/>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gross (1)</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of intangible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At September 30, 2023, the weighted average remaining useful life for intangible assets subject to amortization, gross was 4.8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consist of the following (in thousands):</w:t>
      </w:r>
    </w:p>
    <w:tbl>
      <w:tblPr>
        <w:tblW w:w="9820" w:type="dxa"/>
        <w:jc w:val="left"/>
        <w:tblInd w:w="0" w:type="dxa"/>
        <w:tblLayout w:type="fixed"/>
        <w:tblCellMar>
          <w:top w:w="28" w:type="dxa"/>
          <w:left w:w="28" w:type="dxa"/>
          <w:bottom w:w="28" w:type="dxa"/>
          <w:right w:w="28" w:type="dxa"/>
        </w:tblCellMar>
      </w:tblPr>
      <w:tblGrid>
        <w:gridCol w:w="2493"/>
        <w:gridCol w:w="2192"/>
        <w:gridCol w:w="2199"/>
        <w:gridCol w:w="240"/>
        <w:gridCol w:w="941"/>
        <w:gridCol w:w="124"/>
        <w:gridCol w:w="109"/>
        <w:gridCol w:w="109"/>
        <w:gridCol w:w="109"/>
        <w:gridCol w:w="231"/>
        <w:gridCol w:w="905"/>
        <w:gridCol w:w="168"/>
      </w:tblGrid>
      <w:tr>
        <w:trPr/>
        <w:tc>
          <w:tcPr>
            <w:tcW w:w="249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ASC 323</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the fair value option</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under ASC 321</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securities accounted for under the equity method under ASC 323 include equity securities in which we can exercise significant influence, but not control, over these entities through holding more than a 20% voting interest in the entity.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our equity securities accounted for under the equity method and related ownership interest as of September 30, 2023:</w:t>
      </w:r>
    </w:p>
    <w:tbl>
      <w:tblPr>
        <w:tblW w:w="2941" w:type="dxa"/>
        <w:jc w:val="center"/>
        <w:tblInd w:w="0" w:type="dxa"/>
        <w:tblLayout w:type="fixed"/>
        <w:tblCellMar>
          <w:top w:w="28" w:type="dxa"/>
          <w:left w:w="28" w:type="dxa"/>
          <w:bottom w:w="28" w:type="dxa"/>
          <w:right w:w="28" w:type="dxa"/>
        </w:tblCellMar>
      </w:tblPr>
      <w:tblGrid>
        <w:gridCol w:w="679"/>
        <w:gridCol w:w="597"/>
        <w:gridCol w:w="599"/>
        <w:gridCol w:w="312"/>
        <w:gridCol w:w="312"/>
        <w:gridCol w:w="4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interest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Medici Ventures, L.P.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tZERO Group,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SpeedRoute, LLC</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our equity method securities was $169.3 million at September 30, 2023, which is included in Equity securities on our consolidated balance sheets, of which $41.1 million is valued under the fair value option (tZERO and SpeedRoute). For our investments in Medici Ventures, tZERO, and SpeedRoute there is no difference in the carrying amount of the assets and liabilities and our maximum exposure to loss, and there is no difference between the carrying amount of our investment in Medici Ventures and the amount of underlying equity we have in the entity's net assets.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loss recognized on equity method securities recorded in Other expense, net in our consolidated statements of operations (in thousands):</w:t>
      </w:r>
    </w:p>
    <w:tbl>
      <w:tblPr>
        <w:tblW w:w="10205" w:type="dxa"/>
        <w:jc w:val="center"/>
        <w:tblInd w:w="0" w:type="dxa"/>
        <w:tblLayout w:type="fixed"/>
        <w:tblCellMar>
          <w:top w:w="28" w:type="dxa"/>
          <w:left w:w="28" w:type="dxa"/>
          <w:bottom w:w="28" w:type="dxa"/>
          <w:right w:w="28" w:type="dxa"/>
        </w:tblCellMar>
      </w:tblPr>
      <w:tblGrid>
        <w:gridCol w:w="1747"/>
        <w:gridCol w:w="1536"/>
        <w:gridCol w:w="1539"/>
        <w:gridCol w:w="211"/>
        <w:gridCol w:w="768"/>
        <w:gridCol w:w="109"/>
        <w:gridCol w:w="109"/>
        <w:gridCol w:w="109"/>
        <w:gridCol w:w="109"/>
        <w:gridCol w:w="211"/>
        <w:gridCol w:w="768"/>
        <w:gridCol w:w="109"/>
        <w:gridCol w:w="109"/>
        <w:gridCol w:w="109"/>
        <w:gridCol w:w="109"/>
        <w:gridCol w:w="211"/>
        <w:gridCol w:w="768"/>
        <w:gridCol w:w="109"/>
        <w:gridCol w:w="109"/>
        <w:gridCol w:w="109"/>
        <w:gridCol w:w="109"/>
        <w:gridCol w:w="211"/>
        <w:gridCol w:w="768"/>
        <w:gridCol w:w="159"/>
      </w:tblGrid>
      <w:tr>
        <w:trPr/>
        <w:tc>
          <w:tcPr>
            <w:tcW w:w="174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recognized on our proportionate share of the net assets of our equity method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fair value of equity method securities held under fair value option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Regulation S-X Rule 10-01(b)(1)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the unaudited summarized financial information for those equity method securities that met the significance criteria for the period ended September 30, 2023, presented on a quarterly lag, (in thousands):</w:t>
      </w:r>
    </w:p>
    <w:tbl>
      <w:tblPr>
        <w:tblW w:w="5140" w:type="dxa"/>
        <w:jc w:val="left"/>
        <w:tblInd w:w="0" w:type="dxa"/>
        <w:tblLayout w:type="fixed"/>
        <w:tblCellMar>
          <w:top w:w="28" w:type="dxa"/>
          <w:left w:w="28" w:type="dxa"/>
          <w:bottom w:w="28" w:type="dxa"/>
          <w:right w:w="28" w:type="dxa"/>
        </w:tblCellMar>
      </w:tblPr>
      <w:tblGrid>
        <w:gridCol w:w="695"/>
        <w:gridCol w:w="610"/>
        <w:gridCol w:w="614"/>
        <w:gridCol w:w="109"/>
        <w:gridCol w:w="109"/>
        <w:gridCol w:w="160"/>
        <w:gridCol w:w="160"/>
        <w:gridCol w:w="310"/>
        <w:gridCol w:w="905"/>
        <w:gridCol w:w="160"/>
        <w:gridCol w:w="109"/>
        <w:gridCol w:w="109"/>
        <w:gridCol w:w="109"/>
        <w:gridCol w:w="211"/>
        <w:gridCol w:w="61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BORROWINGS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we entered into two loan agreements. The loan agreements provide a $34.5 million Senior Note, carrying interest at an annual rate of 4.242%, and a $13.0 million Mezzanine Note, carrying interest at an annual rate of 5.002%. The loans carry a blended annual interest rate of 4.45%. The Senior Note is for a 10-year term (stated maturity date is March 6, 2030) and requires interest only payments, with the principal amount and any then unpaid interest due and payable at the end of the 10-year term. The Mezzanine Note has a stated 10-year term, though the agreement requires principal and interest payments monthly over approximately a 46-month payment period. Our debt issuance costs and debt discount are amortized using the straight-line basis which approximates the effective interest method.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total outstanding debt on these loans was $35.3 million, net of $331,000 in capitalized debt issuance costs, and the total amount of the current portion of these loans included in Other current liabilities on our consolidated balance sheets was $1.1 million.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Both loans include certain financial and non-financial covenants and are secured by our corporate headquarters and the related land and rank senior to stockholders. The financial covenants require that Overstock maintain a net worth in excess of $30 million and minimum liquid assets of $3 million for so long as the Mezzanine Note is outstanding and is reduced to maintaining a net worth in excess of $15 million and minimum liquid assets of $1 million for the remainder of the term that the Senior Note is outstanding. We are in compliance with our debt covenants and continue to monitor our ongoing compliance with our debt covenants.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LEASES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operating leases for warehouses, office space, and data centers. Our leases have remaining lease terms of one year to four years, some of which may include options to extend the leases perpetually, and some of which may include options to terminate the leases within one year.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6525" w:type="dxa"/>
        <w:jc w:val="center"/>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other information related to leases (in thousands):</w:t>
      </w:r>
    </w:p>
    <w:tbl>
      <w:tblPr>
        <w:tblW w:w="8440" w:type="dxa"/>
        <w:jc w:val="center"/>
        <w:tblInd w:w="0" w:type="dxa"/>
        <w:tblLayout w:type="fixed"/>
        <w:tblCellMar>
          <w:top w:w="28" w:type="dxa"/>
          <w:left w:w="28" w:type="dxa"/>
          <w:bottom w:w="28" w:type="dxa"/>
          <w:right w:w="28" w:type="dxa"/>
        </w:tblCellMar>
      </w:tblPr>
      <w:tblGrid>
        <w:gridCol w:w="2244"/>
        <w:gridCol w:w="1970"/>
        <w:gridCol w:w="1981"/>
        <w:gridCol w:w="298"/>
        <w:gridCol w:w="298"/>
        <w:gridCol w:w="273"/>
        <w:gridCol w:w="154"/>
        <w:gridCol w:w="154"/>
        <w:gridCol w:w="154"/>
        <w:gridCol w:w="298"/>
        <w:gridCol w:w="268"/>
        <w:gridCol w:w="348"/>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operating cash flows from lease arrangements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balance sheet information related to leases:</w:t>
      </w:r>
    </w:p>
    <w:tbl>
      <w:tblPr>
        <w:tblW w:w="7766" w:type="dxa"/>
        <w:jc w:val="center"/>
        <w:tblInd w:w="0" w:type="dxa"/>
        <w:tblLayout w:type="fixed"/>
        <w:tblCellMar>
          <w:top w:w="28" w:type="dxa"/>
          <w:left w:w="28" w:type="dxa"/>
          <w:bottom w:w="28" w:type="dxa"/>
          <w:right w:w="28" w:type="dxa"/>
        </w:tblCellMar>
      </w:tblPr>
      <w:tblGrid>
        <w:gridCol w:w="1750"/>
        <w:gridCol w:w="1537"/>
        <w:gridCol w:w="1543"/>
        <w:gridCol w:w="290"/>
        <w:gridCol w:w="290"/>
        <w:gridCol w:w="724"/>
        <w:gridCol w:w="109"/>
        <w:gridCol w:w="109"/>
        <w:gridCol w:w="109"/>
        <w:gridCol w:w="266"/>
        <w:gridCol w:w="266"/>
        <w:gridCol w:w="773"/>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term—operating leases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years</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rate—operating leases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under our non-cancellable operating leases as of September 30, 2023, are as follows (in thousands):</w:t>
      </w:r>
    </w:p>
    <w:tbl>
      <w:tblPr>
        <w:tblW w:w="3992" w:type="dxa"/>
        <w:jc w:val="center"/>
        <w:tblInd w:w="0" w:type="dxa"/>
        <w:tblLayout w:type="fixed"/>
        <w:tblCellMar>
          <w:top w:w="28" w:type="dxa"/>
          <w:left w:w="28" w:type="dxa"/>
          <w:bottom w:w="28" w:type="dxa"/>
          <w:right w:w="28" w:type="dxa"/>
        </w:tblCellMar>
      </w:tblPr>
      <w:tblGrid>
        <w:gridCol w:w="973"/>
        <w:gridCol w:w="854"/>
        <w:gridCol w:w="857"/>
        <w:gridCol w:w="109"/>
        <w:gridCol w:w="109"/>
        <w:gridCol w:w="109"/>
        <w:gridCol w:w="211"/>
        <w:gridCol w:w="61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Payments due by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litigation concerning consumer protection, employment, intellectual property, claims under the securities laws, and other commercial matters related to the conduct and operation of our business and the sale of products on our Website. In connection with such litigation, we have been in the past and we may be in the future subject to significant damages.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The nature of the loss contingencies relating to claims that have been asserted against us are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October 2019, we received a subpoena from the SEC requiring us to produce documents and other information related to the Series A-1 Preferred stock dividend we announced to stockholders in June 2019 and requesting copies of 10b5-1 plans entered into by certain officers and directors. In December 2019, we received a subpoena from the SEC requesting our insider trading policies and certain employment and consulting agreements. We also received requests from the SEC for our communications with our former Chief Executive Officer and Director, Patrick Byrne, and the matters referenced in the December 2019 subpoenas. In January 2021, we received a subpoena from the SEC requesting information regarding our retail guidance in 2019 and certain communications with current and former executives, board members, and investors. We continue to cooperate with the SEC on these matters.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27, 2019, a purported securities class action lawsuit was filed against us and our former Chief Executive Officer and former Chief Financial Officer in the United States District Court of Utah, alleging violations under Section 10(b), Rule 10b-5, Section 20(a), and Section 20A of the Securities Exchange Act of 1934, as amended (the "Exchange Act"). On October 8, 2019, October 17, 2019, October 31, 2019, and November 20, 2019, four similar lawsuits were filed in the same court also naming us and the above referenced former executives as defendants, bringing similar claims under the Exchange Act, and seeking similar relief. These cases were consolidated into a single lawsuit in December 2019. The Court appointed The Mangrove Partners Master Fund Ltd. as lead plaintiff in January 2020. In March 2020, an amended consolidated complaint was filed against us, our President, our former Chief Executive Officer, and our former Chief Financial Officer. We filed a motion to dismiss and, on September 28, 2020, the court granted our motion and entered judgment in our favor. The plaintiffs filed a motion to amend their complaint on October 23, 2020. The United States District Court of Utah granted the plaintiffs' motion to amend their complaint on January 6, 2021. The plaintiffs filed their amended complaint on January 11, 2021. We filed a motion to dismiss plaintiffs' amended complaint, and on September 20, 2021, the court granted our motion and entered judgment in our favor. On October 18, 2021, the plaintiffs filed a Notice of Appeal, appealing the ruling of the district court to the United States Court of Appeals for the Tenth Circuit. We are awaiting a ruling from the Tenth Circuit that heard oral argument on the appeal on February 9, 2023. No estimates of the possible losses or range of losses can be made at this time. We intend to continue to vigorously defend this consolidated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2019, a shareholder derivative suit was filed against us and certain past and present directors and officers of ours in the United States District Court for the District of Delaware, with allegations that include: (i) breach of fiduciary duties, (ii) unjust enrichment, (iii) insider selling and misappropriation of the Company's information, and (iv) contribution under Sections 10(b) and 21D of the Exchange Act. On December 17, 2019, a similar lawsuit was filed in the same court, naming the same defendants, bringing similar claims, and seeking similar relief. These cases were consolidated into a single lawsuit in January 2020. In March 2020, the court entered a stay on litigation, pending the outcome of the securities class action motion to dismiss. The case remains stayed pending the outcome of the plaintiffs' appeal to the Tenth Circuit in the securities class action. No estimates of the possible losses or range of losses can be made at this time. We intend to vigorously defend these actions.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23, 2020, a putative class action lawsuit was filed against us in the Circuit Court of the County of St. Louis, State of Missouri, alleging that we over-collected taxes on products sold into the state of Missouri. We removed the case to United States District Court, Eastern District of Missouri on May 22, 2020, and on February 9, 2021, the case against us was dismissed. On March 1, 2021, a putative class action lawsuit was filed against us in the Circuit Court of the County of St. Louis, State of Missouri, alleging similar allegations to the April 23, 2020 putative class action lawsuit that was dismissed, that we over-collected taxes on products sold into the state of Missouri. We filed a motion to compel arbitration, which was denied on October 13, 2021. We filed a motion to dismiss, which was denied on March 16, 2022. No estimates of the possible losses or range of losses can be made at this time. We intend to vigorously defend this action.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when a particular contingency is probable and estimable. At September 30, 2023 and December 31, 2022, our established liabilities were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INDEMNIFICATIONS AND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our normal course of business, we have made certain indemnities, commitments, and guarantees under which we may be required to make payments in relation to certain transactions. These indemnities include, but are not limited to, indemnities we entered into in favor of Loan Core Capital Funding Corporation LLC under our building loan agreements,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for losses for any known contingent liability, including those that may arise from indemnification provisions, when future payment is both probable and reasonably estimable.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STOCKHOLDERS' EQUITY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Preferred stock conversion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June 10, 2022 conversion of all outstanding Series A-1 and Series B preferred stock into shares of our common stock, the Company eliminated the Series A-1 and Series B preferred stock class by filing Certificates of Elimination with the Delaware Secretary of State.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JonesTrading Sales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"at the market" sales agreement with JonesTrading Institutional Services LLC and D.A. Davidson &amp; Co. remains active; however, the authorization from our Board of Directors to sell shares of our common stock pursuant to the "at the market" sales program has expired. During the nine months ended September 30, 2023 and 2022, we did not sell any shares of our common stock pursuant to the "at the market" sales program.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we did not repurchase any shares of our common stock under our stock repurchase program. During the three months ended September 30, 2022, we did not repurchase any shares of our common stock under our stock repurchase program. During the nine months ended September 30, 2022, we repurchased $59.8 million of our common stock and $306,000 of our Series A-1 preferred stock under the stock repurchase program at average prices of $36.16 and $42.16 per share, respectively. During the nine months ended September 30, 2022, we retired 7,244 shares of our Series A-1 preferred stock treasury stock which had been previously repurchased under the stock repurchase program. The retirement increased Accumulated deficit by $306,000. As of September 30, 2023, we had $19.9 million available for future share repurchases under our current repurchase authorization through December 31,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classified within the corresponding operating expense categories on our consolidated statements of operations as follows (in thousands):</w:t>
      </w:r>
    </w:p>
    <w:tbl>
      <w:tblPr>
        <w:tblW w:w="7724" w:type="dxa"/>
        <w:jc w:val="center"/>
        <w:tblInd w:w="0" w:type="dxa"/>
        <w:tblLayout w:type="fixed"/>
        <w:tblCellMar>
          <w:top w:w="28" w:type="dxa"/>
          <w:left w:w="28" w:type="dxa"/>
          <w:bottom w:w="28" w:type="dxa"/>
          <w:right w:w="28" w:type="dxa"/>
        </w:tblCellMar>
      </w:tblPr>
      <w:tblGrid>
        <w:gridCol w:w="993"/>
        <w:gridCol w:w="873"/>
        <w:gridCol w:w="878"/>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Overstock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Overstock.com, Inc. Amended and Restated 2005 Equity Incentive Plan provides for the grant of restricted stock units to employees and directors of the Company and other types of equity awards of the Company. These restricted stock awards generally vest over three years at 33.3% at the end of the first year, 33.3% at the end of the second year and 33.4% at the end of the third year, subject to the recipient's continuing service to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award activity (in thousands, except per share data):</w:t>
      </w:r>
    </w:p>
    <w:tbl>
      <w:tblPr>
        <w:tblW w:w="5015" w:type="dxa"/>
        <w:jc w:val="left"/>
        <w:tblInd w:w="0" w:type="dxa"/>
        <w:tblLayout w:type="fixed"/>
        <w:tblCellMar>
          <w:top w:w="28" w:type="dxa"/>
          <w:left w:w="28" w:type="dxa"/>
          <w:bottom w:w="28" w:type="dxa"/>
          <w:right w:w="28" w:type="dxa"/>
        </w:tblCellMar>
      </w:tblPr>
      <w:tblGrid>
        <w:gridCol w:w="999"/>
        <w:gridCol w:w="879"/>
        <w:gridCol w:w="882"/>
        <w:gridCol w:w="308"/>
        <w:gridCol w:w="308"/>
        <w:gridCol w:w="181"/>
        <w:gridCol w:w="121"/>
        <w:gridCol w:w="121"/>
        <w:gridCol w:w="121"/>
        <w:gridCol w:w="235"/>
        <w:gridCol w:w="688"/>
        <w:gridCol w:w="172"/>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Outstanding—beginning of year</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fair value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Outstanding—end of period</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Purchases under the Overstock.com, Inc. 2021 Employee Stock Purchase Plan (the "ESPP") during the nine months ended September 30, 2023 and 2022 were 117,687 shares and 83,570 shares, respectively, at an average purchase price per share of $16.25 and $35.41, respectively. At September 30, 2023, approximately 2.8 million shares of common stock remained available under the ESPP.</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the ESPP is included in the stock-based compensation expense table above combined with the expense associated with our restricted stock units. Stock-based compensation related to the ESPP was $437,000 and $576,000 for the three months ended September 30, 2023 and 2022, respectively, and $1.5 million and $1.8 million for the nine months ended September 30, 2023 and 2022,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13. REVENUE AND CONTRACT LIABILITY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Unearned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unearned revenue from contracts with customers, including significant changes in unearned revenue balances during the periods presented (in thousands):</w:t>
      </w:r>
    </w:p>
    <w:tbl>
      <w:tblPr>
        <w:tblW w:w="6741" w:type="dxa"/>
        <w:jc w:val="center"/>
        <w:tblInd w:w="0" w:type="dxa"/>
        <w:tblLayout w:type="fixed"/>
        <w:tblCellMar>
          <w:top w:w="28" w:type="dxa"/>
          <w:left w:w="28" w:type="dxa"/>
          <w:bottom w:w="28" w:type="dxa"/>
          <w:right w:w="28" w:type="dxa"/>
        </w:tblCellMar>
      </w:tblPr>
      <w:tblGrid>
        <w:gridCol w:w="2046"/>
        <w:gridCol w:w="1798"/>
        <w:gridCol w:w="1811"/>
        <w:gridCol w:w="211"/>
        <w:gridCol w:w="721"/>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unearned revenue related to outstanding loyalty program rewards was $11.3 million and $10.9 million at September 30, 2023 and December 31, 2022, respectively. Breakage income related to loyalty program rewards and gift cards is recognized in Net revenue in our consolidated statements of operations. Breakage included in revenue was $948,000 and $1.1 million for the three months ended September 30, 2023 and 2022, respectively, and $2.8 million and $3.3 million for the nine months ended September 30, 2023 and 2022, respectively. The timing of revenue recognition of these reward dollars is driven by actual customer activities, such as redemptions and expirations. At September 30, 2023, we had an additional $5.8 million of unearned contract revenue classified within Other long-term liabilities on our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returns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additions to and deductions from the sales returns allowance, which is included in our Accrued liabilities balance in our consolidated balance sheets (in thousands):</w:t>
      </w:r>
    </w:p>
    <w:tbl>
      <w:tblPr>
        <w:tblW w:w="4806" w:type="dxa"/>
        <w:jc w:val="center"/>
        <w:tblInd w:w="0" w:type="dxa"/>
        <w:tblLayout w:type="fixed"/>
        <w:tblCellMar>
          <w:top w:w="28" w:type="dxa"/>
          <w:left w:w="28" w:type="dxa"/>
          <w:bottom w:w="28" w:type="dxa"/>
          <w:right w:w="28" w:type="dxa"/>
        </w:tblCellMar>
      </w:tblPr>
      <w:tblGrid>
        <w:gridCol w:w="1348"/>
        <w:gridCol w:w="1182"/>
        <w:gridCol w:w="1190"/>
        <w:gridCol w:w="211"/>
        <w:gridCol w:w="721"/>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NET LOSS PER SHARE</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common share for the periods indicated (in thousands, except per share data):</w:t>
      </w:r>
    </w:p>
    <w:tbl>
      <w:tblPr>
        <w:tblW w:w="10205" w:type="dxa"/>
        <w:jc w:val="center"/>
        <w:tblInd w:w="0" w:type="dxa"/>
        <w:tblLayout w:type="fixed"/>
        <w:tblCellMar>
          <w:top w:w="28" w:type="dxa"/>
          <w:left w:w="28" w:type="dxa"/>
          <w:bottom w:w="28" w:type="dxa"/>
          <w:right w:w="28" w:type="dxa"/>
        </w:tblCellMar>
      </w:tblPr>
      <w:tblGrid>
        <w:gridCol w:w="1700"/>
        <w:gridCol w:w="1469"/>
        <w:gridCol w:w="1481"/>
        <w:gridCol w:w="211"/>
        <w:gridCol w:w="785"/>
        <w:gridCol w:w="109"/>
        <w:gridCol w:w="109"/>
        <w:gridCol w:w="109"/>
        <w:gridCol w:w="109"/>
        <w:gridCol w:w="211"/>
        <w:gridCol w:w="785"/>
        <w:gridCol w:w="109"/>
        <w:gridCol w:w="109"/>
        <w:gridCol w:w="109"/>
        <w:gridCol w:w="109"/>
        <w:gridCol w:w="211"/>
        <w:gridCol w:w="890"/>
        <w:gridCol w:w="109"/>
        <w:gridCol w:w="109"/>
        <w:gridCol w:w="109"/>
        <w:gridCol w:w="109"/>
        <w:gridCol w:w="211"/>
        <w:gridCol w:w="785"/>
        <w:gridCol w:w="158"/>
      </w:tblGrid>
      <w:tr>
        <w:trPr/>
        <w:tc>
          <w:tcPr>
            <w:tcW w:w="170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dividends—issued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loss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loss allocated to participating securities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outstanding—basic</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outstanding—diluted</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of common stock:</w:t>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were excluded from the calculation of diluted shares outstanding as their effect would have been anti-dilutive (in thousands):</w:t>
      </w:r>
    </w:p>
    <w:tbl>
      <w:tblPr>
        <w:tblW w:w="7101" w:type="dxa"/>
        <w:jc w:val="center"/>
        <w:tblInd w:w="0" w:type="dxa"/>
        <w:tblLayout w:type="fixed"/>
        <w:tblCellMar>
          <w:top w:w="28" w:type="dxa"/>
          <w:left w:w="28" w:type="dxa"/>
          <w:bottom w:w="28" w:type="dxa"/>
          <w:right w:w="28" w:type="dxa"/>
        </w:tblCellMar>
      </w:tblPr>
      <w:tblGrid>
        <w:gridCol w:w="939"/>
        <w:gridCol w:w="825"/>
        <w:gridCol w:w="831"/>
        <w:gridCol w:w="308"/>
        <w:gridCol w:w="308"/>
        <w:gridCol w:w="200"/>
        <w:gridCol w:w="200"/>
        <w:gridCol w:w="200"/>
        <w:gridCol w:w="200"/>
        <w:gridCol w:w="233"/>
        <w:gridCol w:w="233"/>
        <w:gridCol w:w="213"/>
        <w:gridCol w:w="109"/>
        <w:gridCol w:w="109"/>
        <w:gridCol w:w="109"/>
        <w:gridCol w:w="308"/>
        <w:gridCol w:w="308"/>
        <w:gridCol w:w="183"/>
        <w:gridCol w:w="183"/>
        <w:gridCol w:w="183"/>
        <w:gridCol w:w="183"/>
        <w:gridCol w:w="233"/>
        <w:gridCol w:w="233"/>
        <w:gridCol w:w="270"/>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provides information that we believe to be relevant to an understanding of our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and uncertainties, including, but not limited to, the risks and uncertainties described in "Special Cautionary Note Regarding Forward Looking Statements" and in Part II, Item 1A, "Risk Factors" included in this Quarterly Report on Form 10-Q. You should read the following discussion together with our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technology-focused innovator and owner of the Bed Bath &amp; Beyond brand and other intellectual property related to the brand. Bed Bath &amp; Beyond is an online home furnishings and furniture retailer in the United States and Canada. As used herein, "Overstock," "the Company," "we," "our" and similar terms include Overstock.com, Inc. and our controlled subsidiaries, unless the context indicates otherwise.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furniture and home furnishings to assist consumers in "Making Dream Homes Come True," particularly for our target customers—consumers who seek support throughout the shopping journey to find quality, stylish furniture and home furnishings at competitive prices, and who want a broad range of products to meet their budget requirements. We believe that the furniture and home furnishings market, which is highly fragmented and has traditionally been served by brick-and-mortar stores, will continue transitioning to online sales as consumers become increasingly comfortable shopping online for goods in this product category. We continually update and augment our product assortment to meet the evolving preferences of our customers and current trends. Our products include furniture, décor, area rugs, bedding and bath, home improvement, and more. We sell our products and services primarily through our internet websites located at www.bedbathandbeyond.com, www.bedbathandbeyond.ca, and www.overstockgovernment.com (referred to collectively as the "Website") and through our mobile app. Nearly all of our retail sales through our Website and mobile app were from transactions in which we fulfilled orders through our network of manufacturers, distributors and other suppliers ("partners"). Our use of the term "partner" does not mean that we have formed any legal partnerships with any of our retail partners. We provide our partners with access to a large customer base and convenient services for marketing, order fulfillment, customer service, returns handling, and other services. Our supply chain allows us to ship directly to our customers from our partners or from our warehouses. Our warehouses primarily fulfill orders from sales of our partners' owned inventory, including some customer returns of partner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focus on driving growth through expanding our home assortment, making it easier for our customers to find and view a broad assortment of products, increasing mobile app adoption driving higher customer retention, average order size, and brand loyalty, optimizing our marketing efforts to grow Bed Bath &amp; Beyond consideration among home shoppers, growing our customer base in Canada, and gaining market share by strengthening our brand pillars of "Selection," "Findability," "Value," and "Support."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Commentary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18.9% for the three months ended September 30, 2023, compared to the same period in 2022. This decrease was primarily due to a 21% decrease in average order value. The decrease was partially offset by a 3% increase in orders delivered. The decrease in average order value was largely driven by orders mixing into categories with lower average unit retail price along with increased promotional and discounting activity following the launch of the Bed Bath &amp; Beyond brand in August. The increase in orders delivered was driven by growth in customers shopping and partially offset by the impact of macroeconomic factors impacting consumer sentiment and a shift in consumer spending preferences.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decreased 34.9% for the three months ended September 30, 2023, compared to the same period in 2022, due to lower sales and a decrease in gross margin. Gross margin decreased to 18.7% for the three months ended September 30, 2023, compared to 23.3% for the same period in 2022, primarily due to increased promotional discounting and expense deleverage related to carrier costs associated with a shift in product mix.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as a percentage of revenue increased from 11.6% for the three months ended September 30, 2022 to 15.4% for the three months ended September 30, 2023, primarily due to increased performance marketing expense, partially offset by lower brand advertising.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 totaled $29.2 million for the three months ended September 30, 2023, a $388,000 decrease compared to the three months ended September 30, 2022, primarily due to a reduction in staff-related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$5.4 million for the three months ended September 30, 2023 compared to the three months ended September 30, 2022, primarily due to Bed Bath &amp; Beyond brand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cash and cash equivalents balance decreased from $371.3 million as of December 31, 2022, to $325.4 million as of September 30, 2023.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Additional commentary related to macroeconomic trends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recent macroeconomic trends, including, but not limited to, geopolitical events, fluctuating interest rates, and inflation. These events have and may continue to negatively impact consumer confidence and consumer spending which have and may continue to adversely affect our business and our results of operations. Due to the uncertain and constantly evolving nature and volatility created by these disruptions to global economic activities, we cannot currently predict the long-term impact of these events on our operations and financial results. Nevertheless, as of September 30, 2023, the challenges arising from these events have not adversely affected our liquidity or capacity to service our debt, nor have these conditions required us to reduce our capital expenditures.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Comparisons of Three Months Ended September 30, 2023 to Three Months Ended September 30, 2022, and Nine Months Ended September 30, 2023 to Nine Months Ended September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 cost of goods sold, 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revenue, cost of goods sold, and gross profit (in thousands):</w:t>
      </w:r>
    </w:p>
    <w:tbl>
      <w:tblPr>
        <w:tblW w:w="10112" w:type="dxa"/>
        <w:jc w:val="center"/>
        <w:tblInd w:w="0" w:type="dxa"/>
        <w:tblLayout w:type="fixed"/>
        <w:tblCellMar>
          <w:top w:w="28" w:type="dxa"/>
          <w:left w:w="28" w:type="dxa"/>
          <w:bottom w:w="28" w:type="dxa"/>
          <w:right w:w="28" w:type="dxa"/>
        </w:tblCellMar>
      </w:tblPr>
      <w:tblGrid>
        <w:gridCol w:w="1286"/>
        <w:gridCol w:w="1133"/>
        <w:gridCol w:w="1135"/>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6"/>
      </w:tblGrid>
      <w:tr>
        <w:trPr/>
        <w:tc>
          <w:tcPr>
            <w:tcW w:w="128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fees, customer service,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net revenue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fees, customer service,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18.9% decrease in net revenue for the three months ended September 30, 2023, as compared to the same period in 2022, was primarily due to a 21% decrease in average order value. The decrease was partially offset by a 3% increase in orders delivered. The decrease in average order value was largely driven by orders mixing into categories with lower average unit retail price along with increased promotional and discounting activity following the launch of the Bed Bath &amp; Beyond brand in August. The increase in orders delivered was driven by growth in customers shopping and partially offset by the impact of macroeconomic factors impacting consumer sentiment and a shift in consumer spending preferences.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22.8% decrease in net revenue for the nine months ended September 30, 2023, as compared to the same period in 2022, was primarily due to a 15% decrease in the number of customer orders delivered and a decrease in average order value of 9%. This decreased order activity was largely driven by the impact of macroeconomic factors including a relatively high inflationary environment and uncertainty impacting consumer sentiment, a shift in consumer spending preferences, and our strategy to exit non-home categories, partially offset by an increase in orders delivered following the launch of the Bed Bath &amp; Beyond brand in August.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estimate the impact that macroeconomic conditions, such as supply chain challenges, inflation, rising interest rates, or geopolitical events will have on our business in the future due to the unpredictable nature of the ultimate development and duration of these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net revenues were less than 4% of total net revenues for each of the three and nine months ended September 30, 2023 and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estimate of average transit times (days)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or geopolitical events.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effect that hypothetical changes in the estimate of average shipping transit times would have had on the reported amount of revenue and income before income taxes (in thousands):</w:t>
      </w:r>
    </w:p>
    <w:tbl>
      <w:tblPr>
        <w:tblW w:w="9953" w:type="dxa"/>
        <w:jc w:val="center"/>
        <w:tblInd w:w="0" w:type="dxa"/>
        <w:tblLayout w:type="fixed"/>
        <w:tblCellMar>
          <w:top w:w="28" w:type="dxa"/>
          <w:left w:w="28" w:type="dxa"/>
          <w:bottom w:w="28" w:type="dxa"/>
          <w:right w:w="28" w:type="dxa"/>
        </w:tblCellMar>
      </w:tblPr>
      <w:tblGrid>
        <w:gridCol w:w="1767"/>
        <w:gridCol w:w="1553"/>
        <w:gridCol w:w="1555"/>
        <w:gridCol w:w="109"/>
        <w:gridCol w:w="109"/>
        <w:gridCol w:w="109"/>
        <w:gridCol w:w="332"/>
        <w:gridCol w:w="1252"/>
        <w:gridCol w:w="171"/>
        <w:gridCol w:w="109"/>
        <w:gridCol w:w="109"/>
        <w:gridCol w:w="109"/>
        <w:gridCol w:w="533"/>
        <w:gridCol w:w="1747"/>
        <w:gridCol w:w="389"/>
      </w:tblGrid>
      <w:tr>
        <w:trPr/>
        <w:tc>
          <w:tcPr>
            <w:tcW w:w="176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 2023</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the Estimate of Average Transit Times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 Income Before Income Taxes</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gross margins fluctuate based on competitive pricing; product costs; discounting; product mix of sales; advertising revenue and our marketing allowance program; and operational and fulfillment costs. Merchant fees, customer service, and other (previously labeled "Fulfillment and related costs") include merchant processing fees associated with customer payments made by credit cards and other payment methods and other variable fees, customer service costs,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 Merchant fees, customer service, and other as a percentage of sales may vary due to several factors, such as our ability to effectively manage merchant fees, customer service costs, and warehouse costs. We believe that some companies in our industry, including some of our competitors, account for merchant fees, customer service, and other costs within operating expenses, and therefore exclude merchant fees, customer service, and other costs from gross margin. As a result, our gross margin may not be directly comparable to others in our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margins for the past seven quarterly periods and fiscal year ending 2022 were:</w:t>
      </w:r>
    </w:p>
    <w:tbl>
      <w:tblPr>
        <w:tblW w:w="10205" w:type="dxa"/>
        <w:jc w:val="center"/>
        <w:tblInd w:w="0" w:type="dxa"/>
        <w:tblLayout w:type="fixed"/>
        <w:tblCellMar>
          <w:top w:w="28" w:type="dxa"/>
          <w:left w:w="28" w:type="dxa"/>
          <w:bottom w:w="28" w:type="dxa"/>
          <w:right w:w="28" w:type="dxa"/>
        </w:tblCellMar>
      </w:tblPr>
      <w:tblGrid>
        <w:gridCol w:w="323"/>
        <w:gridCol w:w="284"/>
        <w:gridCol w:w="285"/>
        <w:gridCol w:w="255"/>
        <w:gridCol w:w="256"/>
        <w:gridCol w:w="360"/>
        <w:gridCol w:w="109"/>
        <w:gridCol w:w="109"/>
        <w:gridCol w:w="109"/>
        <w:gridCol w:w="255"/>
        <w:gridCol w:w="256"/>
        <w:gridCol w:w="360"/>
        <w:gridCol w:w="109"/>
        <w:gridCol w:w="109"/>
        <w:gridCol w:w="109"/>
        <w:gridCol w:w="255"/>
        <w:gridCol w:w="256"/>
        <w:gridCol w:w="360"/>
        <w:gridCol w:w="109"/>
        <w:gridCol w:w="109"/>
        <w:gridCol w:w="109"/>
        <w:gridCol w:w="255"/>
        <w:gridCol w:w="256"/>
        <w:gridCol w:w="360"/>
        <w:gridCol w:w="109"/>
        <w:gridCol w:w="109"/>
        <w:gridCol w:w="109"/>
        <w:gridCol w:w="255"/>
        <w:gridCol w:w="256"/>
        <w:gridCol w:w="360"/>
        <w:gridCol w:w="109"/>
        <w:gridCol w:w="109"/>
        <w:gridCol w:w="109"/>
        <w:gridCol w:w="255"/>
        <w:gridCol w:w="256"/>
        <w:gridCol w:w="360"/>
        <w:gridCol w:w="109"/>
        <w:gridCol w:w="109"/>
        <w:gridCol w:w="109"/>
        <w:gridCol w:w="255"/>
        <w:gridCol w:w="256"/>
        <w:gridCol w:w="360"/>
        <w:gridCol w:w="109"/>
        <w:gridCol w:w="109"/>
        <w:gridCol w:w="109"/>
        <w:gridCol w:w="255"/>
        <w:gridCol w:w="256"/>
        <w:gridCol w:w="416"/>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FY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Q3 2023</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September 30, 2023 decreased 34.9% compared to the same period in 2022, due to lower sales and a decrease in gross margin. Gross margin decreased to 18.7% for the three months ended September 30, 2023, compared to 23.3% for the same period in 2022, primarily due to increased promotional discounting and expense deleverage related to carrier costs associated with a shift in product mix.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nine months ended September 30, 2023 decreased 28.2% compared to the same period in 2022, primarily due to lower sales and a decrease in gross margin. Gross margin decreased to 21.6% for the nine months ended September 30, 2023, compared to 23.2% for the same period in 2022, primarily due to increased promotional discounting and carrier costs. The decrease was partially offset by operational efficiencies.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our discounted shipping and other promotions, such as coupons, are not included in sales and marketing expense.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sales and marketing expenses (in thousands):</w:t>
      </w:r>
    </w:p>
    <w:tbl>
      <w:tblPr>
        <w:tblW w:w="10205" w:type="dxa"/>
        <w:jc w:val="center"/>
        <w:tblInd w:w="0" w:type="dxa"/>
        <w:tblLayout w:type="fixed"/>
        <w:tblCellMar>
          <w:top w:w="28" w:type="dxa"/>
          <w:left w:w="28" w:type="dxa"/>
          <w:bottom w:w="28" w:type="dxa"/>
          <w:right w:w="28" w:type="dxa"/>
        </w:tblCellMar>
      </w:tblPr>
      <w:tblGrid>
        <w:gridCol w:w="1566"/>
        <w:gridCol w:w="1290"/>
        <w:gridCol w:w="129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8"/>
      </w:tblGrid>
      <w:tr>
        <w:trPr/>
        <w:tc>
          <w:tcPr>
            <w:tcW w:w="15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169,973 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380 basis point increase in sales and marketing expenses as a percent of net revenue for the three months ended September 30, 2023, as compared to the same period in 2022, was primarily due to increased performance marketing expense, partially offset by lower brand advertising.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200 basis point increase in sales and marketing expenses as a percent of net revenue for the nine months ended September 30, 2023, as compared to the same period in 2022, was primarily due to increased performance marketing expense, partially offset by lower brand advertising.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deploy our capital resources efficiently in technology to support operations including private and public cloud, web services, customer support solutions, and product search. We also invest in technology to enhance the customer experience including machine learning algorithms, generative AI, improving our process automation and efficiency, modernizing and expanding our systems, and supporting and expanding our logistics infrastructure. We expect to continue to incur technology expenses to support these efforts and these expenditures may continue to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frequency and variety of cyberattacks on our Website,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technology expenses (in thousands):</w:t>
      </w:r>
    </w:p>
    <w:tbl>
      <w:tblPr>
        <w:tblW w:w="9918" w:type="dxa"/>
        <w:jc w:val="center"/>
        <w:tblInd w:w="0" w:type="dxa"/>
        <w:tblLayout w:type="fixed"/>
        <w:tblCellMar>
          <w:top w:w="28" w:type="dxa"/>
          <w:left w:w="28" w:type="dxa"/>
          <w:bottom w:w="28" w:type="dxa"/>
          <w:right w:w="28" w:type="dxa"/>
        </w:tblCellMar>
      </w:tblPr>
      <w:tblGrid>
        <w:gridCol w:w="1477"/>
        <w:gridCol w:w="1299"/>
        <w:gridCol w:w="1304"/>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$388,000 decrease in technology expenses for the three months ended September 30, 2023, as compared to the same period in 2022, was primarily due to a reduction in staff-related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$5.7 million decrease in technology expenses for the nine months ended September 30, 2023, as compared to the same period in 2022, was primarily due to a reduction in staff-related expenses.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general and administrative expenses (in thousands):</w:t>
      </w:r>
    </w:p>
    <w:tbl>
      <w:tblPr>
        <w:tblW w:w="10205" w:type="dxa"/>
        <w:jc w:val="center"/>
        <w:tblInd w:w="0" w:type="dxa"/>
        <w:tblLayout w:type="fixed"/>
        <w:tblCellMar>
          <w:top w:w="28" w:type="dxa"/>
          <w:left w:w="28" w:type="dxa"/>
          <w:bottom w:w="28" w:type="dxa"/>
          <w:right w:w="28" w:type="dxa"/>
        </w:tblCellMar>
      </w:tblPr>
      <w:tblGrid>
        <w:gridCol w:w="1587"/>
        <w:gridCol w:w="1388"/>
        <w:gridCol w:w="139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7"/>
      </w:tblGrid>
      <w:tr>
        <w:trPr/>
        <w:tc>
          <w:tcPr>
            <w:tcW w:w="15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$5.4 million increase in general and administrative expenses for the three months ended September 30, 2023, as compared to the same period in 2022, was primarily due to Bed Bath &amp; Beyond brand integration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$5.3 million increase in general and administrative expenses for the nine months ended September 30, 2023, as compared to the same period in 2022, was primarily due to Bed Bath &amp; Beyond brand integration expenses.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expense, net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Other expense, net for the</w:t>
      </w:r>
      <w:r>
        <w:rPr>
          <w:color w:val="000000"/>
        </w:rPr>
        <w:t xml:space="preserve"> </w:t>
      </w:r>
      <w:r>
        <w:rPr>
          <w:rFonts w:ascii="Times New Roman;sans-serif" w:hAnsi="Times New Roman;sans-serif"/>
          <w:b w:val="false"/>
          <w:color w:val="000000"/>
          <w:sz w:val="20"/>
        </w:rPr>
        <w:t>three months ended September 30, 2023 was $38.7 million as compared to $46.3 million for the three months ended September 30, 2022. The decrease was primarily due to a $7.5 million decrease in loss recognized from our equity method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for the nine months ended September 30, 2023 was $126.8 million as compared to $48.4 million for the nine months ended September 30, 2022. The increase was primarily due to a $77.7 million increase in loss recognized from our equity method securities.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(benefit) for income tax for the three months ended September 30, 2023 and 2022 was $(13.4) million and $(2.7) million, respectively. The effective tax rate for the three months ended September 30, 2023 and 2022 was 17.5% and 6.7%, respectively. Our provision (benefit) for income tax for the nine months ended September 30, 2023 and 2022 was $(24.7) million and $2.0 million, respectively. The effective tax rate for the nine months ended September 30, 2023 and 2022 was 14.4% and (11.1)%, respectively. Our tax expense decreased during the three and nine months ended September 30, 2023 as compared to the same period in 2022, primarily due to a decrease in income before income taxes. Our tax rate changed during the three and nine months ended September 30, 2023 as compared to the same period in 2022, primarily due to current period losses from operations more heavily impacting our loss before income taxes. Our effective tax rate for the three and nine months ended September 30, 2023 differs from the statutory federal income tax rate of 21% primarily due to year-to-date losses on our equity method securities for which tax benefits are limited.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quarter we assess the recoverability of our deferred tax assets under ASC Topic 740. We assess available positive and negative evidence to estimate whether we will generate sufficient future taxable income to use our existing deferred tax assets. We have no carryback ability, and therefore we must rely on future taxable income, including tax planning strategies, to support their realizability. At this time, we consider it more likely than not that we will have sufficient taxable income in the future that will allow us to realize our federal and state net deferred tax assets. However, it is possible that some or all of these deferred tax assets could ultimately expire unused, if we are unable to generate sufficient taxable income. Therefore, unless we are able to generate sufficient income from our operations, a valuation allowance to reduce our deferred tax assets may be required, which would materially increase our expenses in the period the allowance is recognized and materially adversely affect our results of operations and financial condition. We currently maintain a valuation allowance against our deferred tax assets for capital losses and the state of Utah, because of the uncertainty regarding the realizability of these deferred tax assets. Any activities that impact the valuation allowance will be recognized discretely in the period in which they occur. We will continue to monitor the need for a valuation allowance against our other deferred tax assets on a quarterly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the United States and multiple state and foreign jurisdictions. Tax years beginning in 2018 are subject to examination by taxing authorities, although net operating loss and credit carryforwards from all years are subject to examinations and adjustments for at least three years following the year in which the attributes are used.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and geopolitical events. We proactively seek opportunities to improve the efficiency of our operations and have in the past and may in the future take steps to realize internal cost savings, including aligning our staffing needs based on our current and expected future levels of operations and process streamlining.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sources of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existing cash and cash equivalents and accounts receivable, net. At September 30, 2023, we had $325.4 million of cash and cash equivalents and $19.6 million of accounts receivable,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 information is as follows (in thousands):</w:t>
      </w:r>
    </w:p>
    <w:tbl>
      <w:tblPr>
        <w:tblW w:w="4763" w:type="dxa"/>
        <w:jc w:val="center"/>
        <w:tblInd w:w="0" w:type="dxa"/>
        <w:tblLayout w:type="fixed"/>
        <w:tblCellMar>
          <w:top w:w="28" w:type="dxa"/>
          <w:left w:w="28" w:type="dxa"/>
          <w:bottom w:w="28" w:type="dxa"/>
          <w:right w:w="28" w:type="dxa"/>
        </w:tblCellMar>
      </w:tblPr>
      <w:tblGrid>
        <w:gridCol w:w="875"/>
        <w:gridCol w:w="768"/>
        <w:gridCol w:w="771"/>
        <w:gridCol w:w="211"/>
        <w:gridCol w:w="616"/>
        <w:gridCol w:w="109"/>
        <w:gridCol w:w="109"/>
        <w:gridCol w:w="109"/>
        <w:gridCol w:w="109"/>
        <w:gridCol w:w="211"/>
        <w:gridCol w:w="72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$9.1 million of net cash provided by operating activities during the nine months ended September 30, 2023 was primarily due to loss from operating activities adjusted for non-cash items of $8.9 million offset by cash provided by changes in operating assets and liabilities of $18.0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$17.6 million of net cash provided by operating activities during the nine months ended September 30, 2022 was primarily due to income from operating activities adjusted for non-cash items of $58.9 million offset by cash used by changes in operating assets and liabilities of $41.3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investing activities resulted in a net cash outflow of $51.8 million, primarily due to $25.8 million for purchases of intangible assets, $10.0 million for disbursement for notes receivable and $16.5 million of expenditures for property and equipment.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investing activities resulted in a net cash outflow of $28.0 million, primarily due to $18.9 million for purchases of equity securities and $9.7 million of expenditures for property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financing activities resulted in a net cash outflow of $3.4 million, primarily due to $2.6 million for payment of taxes withheld upon vesting of employee stock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financing activities resulted in a net cash outflow of $65.2 million, primarily due to $60.1 million for repurchases of our common stock and Series A-1 preferred stock under the Repurchase Program and $3.5 million for payment of taxes withheld upon vesting of employee stock awards.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as of September 30, 2023 and the effect such obligations and commitments are expected to have on our liquidity and cash flow in future periods (in thousands):</w:t>
      </w:r>
    </w:p>
    <w:tbl>
      <w:tblPr>
        <w:tblW w:w="10181" w:type="dxa"/>
        <w:jc w:val="center"/>
        <w:tblInd w:w="0" w:type="dxa"/>
        <w:tblLayout w:type="fixed"/>
        <w:tblCellMar>
          <w:top w:w="28" w:type="dxa"/>
          <w:left w:w="28" w:type="dxa"/>
          <w:bottom w:w="28" w:type="dxa"/>
          <w:right w:w="28" w:type="dxa"/>
        </w:tblCellMar>
      </w:tblPr>
      <w:tblGrid>
        <w:gridCol w:w="1048"/>
        <w:gridCol w:w="922"/>
        <w:gridCol w:w="924"/>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34"/>
        <w:gridCol w:w="1143"/>
        <w:gridCol w:w="172"/>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919" w:type="dxa"/>
            <w:gridSpan w:val="25"/>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agreements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the future minimum lease payments under non-cancellable operating leases. For information regarding our operating lease obligations, see Note 8—Leases, in the Notes to Unaudited Consolidated Financial Statements included in Item 1, Part I, Financial Statements (Unaudited) of this Quarterly Report on Form 10-Q.</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future interest and principal payments on the financing agreements with Loan Core Capital Funding Corporation LLC. For information regarding our financing agreements, see Note 7—Borrowings, in the Notes to Unaudited Consolidated Financial Statements included in Item 1, Part I, Financial Statements (Unaudited) of this Quarterly Report on Form 10-Q.</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tax matters, the outcomes of which are uncertain. As of September 30, 2023, accrued tax contingencies were $3.6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our financial statements requires that we make estimates and judgments. We base these on historical experience and on other assumptions that we believe to be reasonable. There have been no material changes to our critical accounting policies and estimates as compared to the critical accounting policies and estimates described in Note 2—Accounting Policies and Supplemental Disclosures, included in Part II, Item 8, Financial Statements and Supplementary Data, of our Annual Report on Form 10-K for the year ended December 31, 2022.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variety of laws, rules, mandates, and regulations, some of which apply or may apply to us as a result of our retail business, and others of which apply to us for other reasons, such as our status as a publicly held company or the places in which we sell certain types or amounts of products. Our retail business is subject to general business regulations and laws, regulations and laws specifically governing the internet, e-commerce, and other services we offer. Existing and future laws and regulations may result in increasing expense and may impede our growth. Applicable and potentially applicable regulations and laws include regulations and laws regarding taxation, privacy, data protection, pricing, content, copyrights, distribution, mobile communications, electronic device certification, electronic waste, energy consumption, environmental regulation, electronic contracts and other communications, competition, consumer protection, employment, import and export matters, information reporting requirements, access to our services and facilities, the design and operation of websites, health, safety, and sanitation standards, the characteristics and quality of products and services, product labeling and unfair and deceptive trade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efforts to expand our retail business outside of the U.S. expose us to foreign and additional U.S. laws and regulations, including but not limited to, laws and regulations relating to taxation, business licensing or certification requirements, advertising practices, online services, the importation of specified or proscribed items, importation quotas, consumer protection, environmental protection, intellectual property rights, consumer and data protection, privacy, encryption, restrictions on pricing or discounts, and the U.S. Foreign Corrupt Practices Act and other applicable U.S. and foreign laws prohibiting corrupt payments to government officials and other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the effect of interest rate changes, foreign currency fluctuations, and changes in the market values of our securities. Information relating to quantitative and qualitative disclosures about these market risks is set forth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Sensitivity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loan agreements carry a fixed blended annual interest rate of 4.45%. As a result, we have no direct financial statement risk associated with changes in interest rates.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sales and operating expenses are denominated in U.S. dollars, and therefore, our net revenue and operating expenses are not currently subject to significant foreign currency risk.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Investment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our equity and debt securities may be subject to fluctuations due to volatility of the stock market in general, investment-specific circumstances, and changes in general economic conditions. At September 30, 2023, our recorded value in equity securities of public and private companies was $169.3 million, of which $15,000 relates to publicly traded companies, recorded at fair value, which are subject to market price volatility. At September 30, 2023, $41.1 million of our equity securities and $10.4 million of our debt securities are of private companies, recorded at fair value using Level 3 inputs. Our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market sensitivities are not practicable. These investments valued using Level 3 inputs represent 16.3% of assets measured at fair value. See Note 3—Fair Value Measurement for further information. For our equity interest in Medici Ventures, L.P., we record our proportionate share of the entity's reported net income or loss, which reflects the fair value changes of the underlying investments of the entity and any other income or losses of the entity.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such term is defined in Rule 13a-15(e) and 15d-15(e) of the Securities Exchange Act of 1934, as amended (the "Exchange Act").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Disclosure Controls and Procedures and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either our disclosure controls and procedures or our internal controls over financial reporting that occurred during the quarter ended September 30, 2023, that have materially affected, or are reasonably likely to materially affect, our disclosure controls and procedures or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or become subject to litigation or other legal proceedings concerning consumer protection, employment, intellectual property, claims under the securities laws, and other commercial matters related to the conduct and operation of our business and the sale of products on our Website. We also prosecute lawsuits to enforce our legal rights. In connection with such litigation or other legal proceedings, we have been in the past and we may be in the future subject to significant damages, associated costs, or equitable remedies relating to the operation of our business.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1 of Part I, Financial Statements—Note 9—Commitments and Contingencies, subheading Legal Proceedings and Contingencies, contained in the Notes to Unaudited Consolidated Financial Statements of this Quarterly Report on Form 10-Q, which is incorporated by reference in answer to this Item.</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Any investment in our securities involves a high degree of risk. Please consider the following risk factors carefully. If any one or more of the following risks were to occur, it could have a material adverse effect on our business, prospects, financial condition and results of operations, and the market price of our securities could decrease significantly. Statements below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read all of the risk factors below carefully, the risk factors described in our Form 10-K for the year ended December 31, 2022, and in any reports we file with the SEC after we file this Form 10-Q, before deciding whether to purchase or hold our securities. We have not repeated risk factors contained in our Form 10-K for the year ended December 31, 2022, which are incorporated herein by reference. The occurrence of any of these risks could harm our business, the trading price of our securities could decline, and investors could lose part or all of their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risk factors set forth below, there are no material changes from the risk factors previously disclosed in Part I - Item 1A - "Risk Factors," of our Annual Report on Form 10-K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realize the expected benefits of our recently announced planned company name change, our planned company stock ticker change, our determination to transfer the listing of our shares to a different stock exchange, or our purchase of the Bed Bath &amp; Beyond brand and other intellectual property due to potential risks and uncertainties.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recently announced our intention to change our company name from Overstock.com, Inc. to Beyond, Inc., change our company ticker symbol from OSTK to BYON, and transfer the listing of our common stock from NASDAQ to the NYSE. We also recently purchased certain assets from Bed Bath &amp; Beyond which we are continuing to use, implement, and integrate with our existing business. Risks and uncertainties associated with these efforts could prevent us from realizing the expected benefits of our proposed company name change, stock ticker symbol change, common stock listing transfer, and purchase of the Bed Bath &amp; Beyond brand and other intellectual property. Any of the following potential risks and uncertainties, if they were to occur, could negatively impact our financial results and prevent us from achieving the expected benefits of these ongoing and proposed 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brand confusion resulting from our re-naming, re-branding, or damage to our existing brand;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of sales or customers due to confusion resulting from our business re-naming, re-branding, loyalty program re-branding, or otherwise;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unexpected costs associated with the integration, implementation, use, or maintenance of the acquired intellectual property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of customer traffic directed from third-party search associated with operating a new website;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or problems associated with our common stock trading with the new ticker symbol or on the new exchange;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higher than anticipated promotional discounting or marketing costs to acquire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to our website or ongoing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the attention of management or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fatigue resulting from implementation efforts that could negatively impact our ability to hire or retain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disruptions or changes to our existing business relationships with suppliers or other third parties resulting from our purchase of the Bed Bath &amp; Beyond assets;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elevated risks associated with fraudulent activities during the process of our global brand expansion;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costs to defend claims against Bed Bath &amp; Beyond that we do not owe as an asset purchaser, but could be required to pay in order to defend and preserve our rights;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unexpected economic, political, or regulatory risks;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other unforeseen costs, expenses, losses, disruptions, delays, or negative impacts.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Shareholder activism could negatively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Responding to actions by activist shareholders could result in substantial cost, disrupt business operations, and divert the attention of our management, Board, and employees. Further, shareholder activism could give rise to perceived uncertainties regarding the future direction of our business, which could adversely affect our relationships with our employees, suppliers, customers, or service providers, could make it more difficult to attract and retain qualified personnel, and could result in stock price fluctuations. Such a result could have a material adverse effect on our personnel, business, prospects,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required to recognize losses relating to our equity method investments.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we held equity method investments totaling approximately $169.3 million. The underlying equity interests are in private entities that are in the startup or development stages. Equity method securities are inherently risky because we do not have the ability to influence business decisions, and the markets for the technologies or products these companies are developing are typically in the early stages and may never materialize. Since these investments are in companies that are in the early startup or development stages, even if their technology or products are viable, they may not be able to obtain the capital or resources necessary to successfully bring their technology or products to market. In addition, the valuations of private companies are inherently more complex due to the lack of readily available market data. The fair values of the underlying equity securities may be subject to fluctuations due to investment-specific circumstances such as failing to complete development milestones, achieve financial forecasts, or raise adequate capital, among other items. We have recognized losses related to these equity method securities in the past and may in the future recognize additional losses. Additionally, due to tax law limitations around deductibility of capital and investment losses, we may not be able to recognize a tax benefit on these losses when they occur. Any such loss could be material and could have a material adverse effect on our financial results.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deferred tax assets may be subject to additional valuation allowances, which could adversely affect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Determining whether a valuation allowance for deferred tax assets is appropriate requires judgment and an evaluation of all positive and negative evidence. At each reporting period, we assess the need for, or the sufficiency of, a valuation allowance against deferred tax assets. During 2021, based on the weight of all the positive and negative evidence, we concluded that it was more likely than not that we will realize certain federal and state net deferred tax assets based on future taxable income. Therefore, we reversed the valuation allowance on those deferred tax assets during 2021. We currently maintain a valuation allowance against our deferred tax assets for capital losses and the state of Utah, because of the uncertainty regarding the realizability of these deferred tax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conclusion that it is more likely than not that we will realize certain federal and state net deferred tax assets is primarily based on our estimate of future taxable income. Our estimate of future taxable income is based on internal projections which primarily consider historical performance, but also include various internal estimates and assumptions and certain external data. We believe all of these inputs are reasonable, although inherently subject to judgment. At this time, we consider it more likely than not that we will have sufficient taxable income in the future that will allow us to realize our federal and state net deferred tax assets. However, it is possible that some or all of these deferred tax assets could ultimately expire unused, if we are unable to generate sufficient taxable income. Therefore, unless we are able to generate sufficient income from our operations, a valuation allowance to reduce our deferred tax assets may be required, which would materially increase our expenses in the period the allowance is recognized and materially adversely affect our results of operations and financial condition.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11—Stockholders' Equity, in the Notes to Unaudited Consolidated Financial Statements included in Item 1, Part I, Financial Statements (Unaudited) of this Quarterly Report on Form 10-Q for information regarding our authorized share repurchase program. There were no repurchases made during the three months ended September 30, 2023. As of September 30, 2023, the approximate dollar value of shares that may yet be purchased under the stock repurchase program is $19.9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12, 2023, Barclay F. Corbus, a director of the Company, adopted a trading plan intended to satisfy Rule 10b5-1(c) to sell up to 6,821 shares of Overstock.com, Inc. common stock between January 22, 2024 and February 5, 2024, subject to certain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12, 2023, Joanna C. Burkey, a director of the Company, adopted a trading plan intended to satisfy Rule 10b5-1(c) to sell up to 2,543 shares of Overstock.com, Inc. common stock between March 4, 2024 and March 5, 2024, subject to certain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15, 2023, Allison H. Abraham, chairwoman of the board of directors of the Company, adopted a trading plan intended to satisfy Rule 10b5-1(c) to sell up to 5,000 shares of Overstock.com, Inc. common stock between January 24, 2024 and January 25, 2024, subject to certain conditions.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0"/>
        <w:gridCol w:w="270"/>
        <w:gridCol w:w="272"/>
        <w:gridCol w:w="109"/>
        <w:gridCol w:w="109"/>
        <w:gridCol w:w="109"/>
        <w:gridCol w:w="2664"/>
        <w:gridCol w:w="2381"/>
        <w:gridCol w:w="33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ostk-20230930xexx311.htm">
              <w:r>
                <w:rPr>
                  <w:rStyle w:val="InternetLink"/>
                  <w:rFonts w:ascii="Times New Roman;sans-serif" w:hAnsi="Times New Roman;sans-serif"/>
                  <w:b w:val="false"/>
                  <w:color w:val="0000FF"/>
                  <w:sz w:val="20"/>
                  <w:u w:val="single"/>
                </w:rPr>
                <w:t>Exhibit 31.1 Certification of Chief Executive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tk-20230930xexx312.htm">
              <w:r>
                <w:rPr>
                  <w:rStyle w:val="InternetLink"/>
                  <w:rFonts w:ascii="Times New Roman;sans-serif" w:hAnsi="Times New Roman;sans-serif"/>
                  <w:b w:val="false"/>
                  <w:color w:val="0000FF"/>
                  <w:sz w:val="20"/>
                  <w:u w:val="single"/>
                </w:rPr>
                <w:t>Exhibit 31.2 Certification of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tk-20230930xexx321.htm">
              <w:r>
                <w:rPr>
                  <w:rStyle w:val="InternetLink"/>
                  <w:rFonts w:ascii="Times New Roman;sans-serif" w:hAnsi="Times New Roman;sans-serif"/>
                  <w:b w:val="false"/>
                  <w:color w:val="0000FF"/>
                  <w:sz w:val="20"/>
                  <w:u w:val="single"/>
                </w:rPr>
                <w:t>Exhibit 32.1 Section 1350 Certification of Chief Executive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tk-20230930xexx322.htm">
              <w:r>
                <w:rPr>
                  <w:rStyle w:val="InternetLink"/>
                  <w:rFonts w:ascii="Times New Roman;sans-serif" w:hAnsi="Times New Roman;sans-serif"/>
                  <w:b w:val="false"/>
                  <w:color w:val="0000FF"/>
                  <w:sz w:val="20"/>
                  <w:u w:val="single"/>
                </w:rPr>
                <w:t>Exhibit 32.2 Section 1350 Certification of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Attached as Exhibit 101 to this report are the following documents formatted in XBRL (Extensible Business Reporting Language): (i) Consolidated Balance Sheets, (ii) Consolidated Statements of Operations, (iii) Consolidated Statements of Comprehensive Loss, (iv) Consolidated Statements of Cash Flows, (v) Consolidated Statements of Stockholders' Equity,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September 30, 2023, formatted in Inline XBRL (included as Exhibit 101).</w:t>
            </w:r>
          </w:p>
        </w:tc>
      </w:tr>
    </w:tbl>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001de0a26774a099bedae12d70f209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7214"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506"/>
        <w:gridCol w:w="1506"/>
        <w:gridCol w:w="21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OVERSTOCK.COM,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E. Johnson III,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Overstock.com,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79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800"/>
        <w:gridCol w:w="800"/>
        <w:gridCol w:w="11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Overstock.com,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214"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505"/>
        <w:gridCol w:w="1505"/>
        <w:gridCol w:w="21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E. Johnson III, certify, pursuant to 18 U.S.C. Section 1350, as adopted pursuant to Section 906 of the Sarbanes-Oxley Act of 2002, that the Quarterly Report of Overstock.com, Inc. on Form 10-Q for the quarter ended September 30, 2023 fully complies with the requirements of Section 13(a) or 15(d) of the Securities Exchange Act of 1934, as applicable, and that information contained in such Report fairly presents in all material respects the financial condition and results of operations of Overstock.com, Inc.</w:t>
      </w:r>
    </w:p>
    <w:p>
      <w:pPr>
        <w:pStyle w:val="TextBody"/>
        <w:bidi w:val="0"/>
        <w:spacing w:lineRule="auto" w:line="288" w:before="0" w:after="0"/>
        <w:jc w:val="left"/>
        <w:rPr>
          <w:color w:val="000000"/>
        </w:rPr>
      </w:pPr>
      <w:r>
        <w:rPr>
          <w:color w:val="000000"/>
        </w:rPr>
        <w:t> </w:t>
      </w:r>
    </w:p>
    <w:tbl>
      <w:tblPr>
        <w:tblW w:w="479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800"/>
        <w:gridCol w:w="800"/>
        <w:gridCol w:w="11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864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936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pursuant to 18 U.S.C. Section 1350, as adopted pursuant to Section 906 of the Sarbanes-Oxley Act of 2002, that the Quarterly Report of Overstock.com, Inc. on Form 10-Q for the quarter ended September 30, 2023 fully complies with the requirements of Section 13(a) or 15(d) of the Securities Exchange Act of 1934, as applicable, and that information contained in such Report fairly presents in all material respects the financial condition and results of operations of Overstock.com, Inc.</w:t>
      </w:r>
    </w:p>
    <w:p>
      <w:pPr>
        <w:pStyle w:val="TextBody"/>
        <w:bidi w:val="0"/>
        <w:spacing w:lineRule="auto" w:line="288" w:before="0" w:after="0"/>
        <w:jc w:val="left"/>
        <w:rPr>
          <w:color w:val="000000"/>
        </w:rPr>
      </w:pPr>
      <w:r>
        <w:rPr>
          <w:color w:val="000000"/>
        </w:rPr>
        <w:t> </w:t>
      </w:r>
    </w:p>
    <w:tbl>
      <w:tblPr>
        <w:tblW w:w="7214"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505"/>
        <w:gridCol w:w="1505"/>
        <w:gridCol w:w="21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17196</Words>
  <Characters>95474</Characters>
  <CharactersWithSpaces>111874</CharactersWithSpaces>
  <Paragraphs>2297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