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637540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1" w:lineRule="exact"/>
        <w:rPr>
          <w:sz w:val="24"/>
          <w:szCs w:val="24"/>
          <w:color w:val="auto"/>
        </w:rPr>
      </w:pPr>
    </w:p>
    <w:p>
      <w:pPr>
        <w:ind w:left="940" w:right="160" w:hanging="568"/>
        <w:spacing w:after="0" w:line="238" w:lineRule="auto"/>
        <w:tabs>
          <w:tab w:leader="none" w:pos="9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100"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4" w:lineRule="exact"/>
        <w:rPr>
          <w:sz w:val="24"/>
          <w:szCs w:val="24"/>
          <w:color w:val="auto"/>
        </w:rPr>
      </w:pPr>
    </w:p>
    <w:p>
      <w:pPr>
        <w:ind w:left="940" w:right="140" w:hanging="568"/>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9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12"/>
        </w:trPr>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16"/>
                <w:szCs w:val="16"/>
                <w:b w:val="1"/>
                <w:bCs w:val="1"/>
                <w:color w:val="auto"/>
              </w:rPr>
              <w:t>Commission file number: 001-41850</w:t>
            </w:r>
          </w:p>
        </w:tc>
      </w:tr>
      <w:tr>
        <w:trPr>
          <w:trHeight w:val="609"/>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32"/>
                <w:szCs w:val="32"/>
                <w:b w:val="1"/>
                <w:bCs w:val="1"/>
                <w:color w:val="auto"/>
              </w:rPr>
              <w:t>BEYOND, INC.</w:t>
            </w:r>
          </w:p>
        </w:tc>
      </w:tr>
      <w:tr>
        <w:trPr>
          <w:trHeight w:val="234"/>
        </w:trPr>
        <w:tc>
          <w:tcPr>
            <w:tcW w:w="3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34"/>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940" w:type="dxa"/>
            <w:vAlign w:val="bottom"/>
            <w:gridSpan w:val="3"/>
          </w:tcPr>
          <w:p>
            <w:pPr>
              <w:jc w:val="right"/>
              <w:ind w:right="2362"/>
              <w:spacing w:after="0"/>
              <w:rPr>
                <w:sz w:val="20"/>
                <w:szCs w:val="20"/>
                <w:color w:val="auto"/>
              </w:rPr>
            </w:pPr>
            <w:r>
              <w:rPr>
                <w:rFonts w:ascii="Times New Roman" w:cs="Times New Roman" w:eastAsia="Times New Roman" w:hAnsi="Times New Roman"/>
                <w:sz w:val="16"/>
                <w:szCs w:val="16"/>
                <w:b w:val="1"/>
                <w:bCs w:val="1"/>
                <w:color w:val="auto"/>
              </w:rPr>
              <w:t>87-0634302</w:t>
            </w:r>
          </w:p>
        </w:tc>
      </w:tr>
      <w:tr>
        <w:trPr>
          <w:trHeight w:val="188"/>
        </w:trPr>
        <w:tc>
          <w:tcPr>
            <w:tcW w:w="6240" w:type="dxa"/>
            <w:vAlign w:val="bottom"/>
            <w:gridSpan w:val="4"/>
          </w:tcPr>
          <w:p>
            <w:pPr>
              <w:jc w:val="center"/>
              <w:ind w:right="110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940" w:type="dxa"/>
            <w:vAlign w:val="bottom"/>
            <w:gridSpan w:val="3"/>
          </w:tcPr>
          <w:p>
            <w:pPr>
              <w:jc w:val="center"/>
              <w:ind w:right="642"/>
              <w:spacing w:after="0"/>
              <w:rPr>
                <w:sz w:val="20"/>
                <w:szCs w:val="20"/>
                <w:color w:val="auto"/>
              </w:rPr>
            </w:pPr>
            <w:r>
              <w:rPr>
                <w:rFonts w:ascii="Times New Roman" w:cs="Times New Roman" w:eastAsia="Times New Roman" w:hAnsi="Times New Roman"/>
                <w:sz w:val="14"/>
                <w:szCs w:val="14"/>
                <w:color w:val="auto"/>
              </w:rPr>
              <w:t>(I.R.S. Employer Identification Number)</w:t>
            </w:r>
          </w:p>
        </w:tc>
      </w:tr>
      <w:tr>
        <w:trPr>
          <w:trHeight w:val="247"/>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w w:val="99"/>
              </w:rPr>
              <w:t>799 West Coliseum Way</w:t>
            </w:r>
          </w:p>
        </w:tc>
        <w:tc>
          <w:tcPr>
            <w:tcW w:w="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r>
      <w:tr>
        <w:trPr>
          <w:trHeight w:val="216"/>
        </w:trPr>
        <w:tc>
          <w:tcPr>
            <w:tcW w:w="3680" w:type="dxa"/>
            <w:vAlign w:val="bottom"/>
            <w:gridSpan w:val="2"/>
          </w:tcPr>
          <w:p>
            <w:pPr>
              <w:jc w:val="center"/>
              <w:ind w:left="1281"/>
              <w:spacing w:after="0"/>
              <w:rPr>
                <w:sz w:val="20"/>
                <w:szCs w:val="20"/>
                <w:color w:val="auto"/>
              </w:rPr>
            </w:pPr>
            <w:r>
              <w:rPr>
                <w:rFonts w:ascii="Times New Roman" w:cs="Times New Roman" w:eastAsia="Times New Roman" w:hAnsi="Times New Roman"/>
                <w:sz w:val="16"/>
                <w:szCs w:val="16"/>
                <w:b w:val="1"/>
                <w:bCs w:val="1"/>
                <w:color w:val="auto"/>
                <w:w w:val="99"/>
              </w:rPr>
              <w:t>Midvale</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13"/>
        </w:trPr>
        <w:tc>
          <w:tcPr>
            <w:tcW w:w="3680" w:type="dxa"/>
            <w:vAlign w:val="bottom"/>
            <w:gridSpan w:val="2"/>
          </w:tcPr>
          <w:p>
            <w:pPr>
              <w:jc w:val="center"/>
              <w:ind w:left="1301"/>
              <w:spacing w:after="0"/>
              <w:rPr>
                <w:sz w:val="20"/>
                <w:szCs w:val="20"/>
                <w:color w:val="auto"/>
              </w:rPr>
            </w:pPr>
            <w:r>
              <w:rPr>
                <w:rFonts w:ascii="Times New Roman" w:cs="Times New Roman" w:eastAsia="Times New Roman" w:hAnsi="Times New Roman"/>
                <w:sz w:val="16"/>
                <w:szCs w:val="16"/>
                <w:b w:val="1"/>
                <w:bCs w:val="1"/>
                <w:color w:val="auto"/>
              </w:rPr>
              <w:t>Utah</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940" w:type="dxa"/>
            <w:vAlign w:val="bottom"/>
            <w:gridSpan w:val="3"/>
          </w:tcPr>
          <w:p>
            <w:pPr>
              <w:jc w:val="right"/>
              <w:ind w:right="2542"/>
              <w:spacing w:after="0"/>
              <w:rPr>
                <w:sz w:val="20"/>
                <w:szCs w:val="20"/>
                <w:color w:val="auto"/>
              </w:rPr>
            </w:pPr>
            <w:r>
              <w:rPr>
                <w:rFonts w:ascii="Times New Roman" w:cs="Times New Roman" w:eastAsia="Times New Roman" w:hAnsi="Times New Roman"/>
                <w:sz w:val="16"/>
                <w:szCs w:val="16"/>
                <w:b w:val="1"/>
                <w:bCs w:val="1"/>
                <w:color w:val="auto"/>
              </w:rPr>
              <w:t>84047</w:t>
            </w:r>
          </w:p>
        </w:tc>
      </w:tr>
      <w:tr>
        <w:trPr>
          <w:trHeight w:val="188"/>
        </w:trPr>
        <w:tc>
          <w:tcPr>
            <w:tcW w:w="3680" w:type="dxa"/>
            <w:vAlign w:val="bottom"/>
            <w:gridSpan w:val="2"/>
          </w:tcPr>
          <w:p>
            <w:pPr>
              <w:jc w:val="center"/>
              <w:ind w:left="12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jc w:val="center"/>
              <w:ind w:right="1922"/>
              <w:spacing w:after="0"/>
              <w:rPr>
                <w:sz w:val="20"/>
                <w:szCs w:val="20"/>
                <w:color w:val="auto"/>
              </w:rPr>
            </w:pPr>
            <w:r>
              <w:rPr>
                <w:rFonts w:ascii="Times New Roman" w:cs="Times New Roman" w:eastAsia="Times New Roman" w:hAnsi="Times New Roman"/>
                <w:sz w:val="14"/>
                <w:szCs w:val="14"/>
                <w:color w:val="auto"/>
              </w:rPr>
              <w:t>(Zip Code)</w:t>
            </w:r>
          </w:p>
        </w:tc>
      </w:tr>
      <w:tr>
        <w:trPr>
          <w:trHeight w:val="509"/>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2"/>
          </w:tcPr>
          <w:p>
            <w:pPr>
              <w:jc w:val="center"/>
              <w:ind w:left="1176"/>
              <w:spacing w:after="0"/>
              <w:rPr>
                <w:sz w:val="20"/>
                <w:szCs w:val="20"/>
                <w:color w:val="auto"/>
              </w:rPr>
            </w:pPr>
            <w:r>
              <w:rPr>
                <w:rFonts w:ascii="Times New Roman" w:cs="Times New Roman" w:eastAsia="Times New Roman" w:hAnsi="Times New Roman"/>
                <w:sz w:val="16"/>
                <w:szCs w:val="16"/>
                <w:b w:val="1"/>
                <w:bCs w:val="1"/>
                <w:color w:val="auto"/>
              </w:rPr>
              <w:t>(801) 947-3100</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0"/>
        </w:trPr>
        <w:tc>
          <w:tcPr>
            <w:tcW w:w="3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40" w:type="dxa"/>
            <w:vAlign w:val="bottom"/>
            <w:gridSpan w:val="4"/>
          </w:tcPr>
          <w:p>
            <w:pPr>
              <w:jc w:val="center"/>
              <w:ind w:right="366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45"/>
        </w:trPr>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00" w:type="dxa"/>
            <w:vAlign w:val="bottom"/>
            <w:gridSpan w:val="5"/>
          </w:tcPr>
          <w:p>
            <w:pPr>
              <w:jc w:val="center"/>
              <w:ind w:right="3602"/>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33"/>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Title of each class</w:t>
            </w:r>
          </w:p>
        </w:tc>
        <w:tc>
          <w:tcPr>
            <w:tcW w:w="60" w:type="dxa"/>
            <w:vAlign w:val="bottom"/>
          </w:tcPr>
          <w:p>
            <w:pPr>
              <w:spacing w:after="0"/>
              <w:rPr>
                <w:sz w:val="20"/>
                <w:szCs w:val="20"/>
                <w:color w:val="auto"/>
              </w:rPr>
            </w:pPr>
          </w:p>
        </w:tc>
        <w:tc>
          <w:tcPr>
            <w:tcW w:w="2500" w:type="dxa"/>
            <w:vAlign w:val="bottom"/>
          </w:tcPr>
          <w:p>
            <w:pPr>
              <w:jc w:val="center"/>
              <w:ind w:left="1066"/>
              <w:spacing w:after="0"/>
              <w:rPr>
                <w:sz w:val="20"/>
                <w:szCs w:val="20"/>
                <w:color w:val="auto"/>
              </w:rPr>
            </w:pPr>
            <w:r>
              <w:rPr>
                <w:rFonts w:ascii="Times New Roman" w:cs="Times New Roman" w:eastAsia="Times New Roman" w:hAnsi="Times New Roman"/>
                <w:sz w:val="16"/>
                <w:szCs w:val="16"/>
                <w:color w:val="auto"/>
              </w:rPr>
              <w:t>Trading Symbol(s)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Borders>
              <w:top w:val="single" w:sz="8" w:color="auto"/>
            </w:tcBorders>
          </w:tcPr>
          <w:p>
            <w:pPr>
              <w:jc w:val="center"/>
              <w:ind w:left="1066"/>
              <w:spacing w:after="0"/>
              <w:rPr>
                <w:sz w:val="20"/>
                <w:szCs w:val="20"/>
                <w:color w:val="auto"/>
              </w:rPr>
            </w:pPr>
            <w:r>
              <w:rPr>
                <w:rFonts w:ascii="Times New Roman" w:cs="Times New Roman" w:eastAsia="Times New Roman" w:hAnsi="Times New Roman"/>
                <w:sz w:val="16"/>
                <w:szCs w:val="16"/>
                <w:color w:val="auto"/>
              </w:rPr>
              <w:t>BYON</w:t>
            </w: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29" w:lineRule="exact"/>
        <w:rPr>
          <w:sz w:val="24"/>
          <w:szCs w:val="24"/>
          <w:color w:val="auto"/>
        </w:rPr>
      </w:pPr>
    </w:p>
    <w:p>
      <w:pPr>
        <w:jc w:val="both"/>
        <w:ind w:firstLine="243"/>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96" w:lineRule="exact"/>
        <w:rPr>
          <w:sz w:val="24"/>
          <w:szCs w:val="24"/>
          <w:color w:val="auto"/>
        </w:rPr>
      </w:pPr>
    </w:p>
    <w:p>
      <w:pPr>
        <w:ind w:right="160" w:firstLine="243"/>
        <w:spacing w:after="0" w:line="25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132" w:lineRule="exact"/>
        <w:rPr>
          <w:sz w:val="24"/>
          <w:szCs w:val="24"/>
          <w:color w:val="auto"/>
        </w:rPr>
      </w:pPr>
    </w:p>
    <w:p>
      <w:pPr>
        <w:ind w:firstLine="243"/>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ectPr>
          <w:pgSz w:w="11900" w:h="16838" w:orient="portrait"/>
          <w:cols w:equalWidth="0" w:num="1">
            <w:col w:w="11240"/>
          </w:cols>
          <w:pgMar w:left="320" w:top="1118" w:right="339" w:bottom="1440" w:gutter="0" w:footer="0" w:header="0"/>
        </w:sectPr>
      </w:pP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Act.</w:t>
      </w:r>
    </w:p>
    <w:p>
      <w:pPr>
        <w:spacing w:after="0" w:line="159" w:lineRule="exact"/>
        <w:rPr>
          <w:sz w:val="24"/>
          <w:szCs w:val="24"/>
          <w:color w:val="auto"/>
        </w:rPr>
      </w:pPr>
    </w:p>
    <w:p>
      <w:pPr>
        <w:jc w:val="right"/>
        <w:ind w:right="126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86"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11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110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2"/>
        </w:trPr>
        <w:tc>
          <w:tcPr>
            <w:tcW w:w="1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Emerging growth company</w:t>
            </w:r>
          </w:p>
        </w:tc>
        <w:tc>
          <w:tcPr>
            <w:tcW w:w="1120" w:type="dxa"/>
            <w:vAlign w:val="bottom"/>
          </w:tcPr>
          <w:p>
            <w:pPr>
              <w:ind w:left="92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200" w:lineRule="exact"/>
        <w:rPr>
          <w:sz w:val="24"/>
          <w:szCs w:val="24"/>
          <w:color w:val="auto"/>
        </w:rPr>
      </w:pPr>
    </w:p>
    <w:p>
      <w:pPr>
        <w:sectPr>
          <w:pgSz w:w="11900" w:h="16838" w:orient="portrait"/>
          <w:cols w:equalWidth="0" w:num="2">
            <w:col w:w="4420" w:space="720"/>
            <w:col w:w="6100"/>
          </w:cols>
          <w:pgMar w:left="320" w:top="1118" w:right="339" w:bottom="1440" w:gutter="0" w:footer="0" w:header="0"/>
          <w:type w:val="continuous"/>
        </w:sectPr>
      </w:pPr>
    </w:p>
    <w:p>
      <w:pPr>
        <w:spacing w:after="0" w:line="93" w:lineRule="exact"/>
        <w:rPr>
          <w:sz w:val="24"/>
          <w:szCs w:val="24"/>
          <w:color w:val="auto"/>
        </w:rPr>
      </w:pPr>
    </w:p>
    <w:p>
      <w:pPr>
        <w:ind w:right="340" w:firstLine="243"/>
        <w:spacing w:after="0" w:line="25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39" w:lineRule="exact"/>
        <w:rPr>
          <w:sz w:val="24"/>
          <w:szCs w:val="24"/>
          <w:color w:val="auto"/>
        </w:rPr>
      </w:pPr>
    </w:p>
    <w:p>
      <w:pPr>
        <w:ind w:left="260"/>
        <w:spacing w:after="0" w:line="24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21"/>
          <w:szCs w:val="21"/>
          <w:color w:val="auto"/>
        </w:rPr>
        <w:t>☒</w:t>
      </w:r>
    </w:p>
    <w:p>
      <w:pPr>
        <w:spacing w:after="0" w:line="30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45,738,120 shares of the registrant's common stock, par value $0.0001, are outstanding on May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88900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7"/>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BEYOND, INC.</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900" w:type="dxa"/>
            <w:vAlign w:val="bottom"/>
            <w:gridSpan w:val="1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TABLE OF CONTENTS TO QUARTERLY REPORT ON FORM 10-Q</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March 31, 2024</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9"/>
            <w:vMerge w:val="restart"/>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0" w:type="dxa"/>
            <w:vAlign w:val="bottom"/>
            <w:gridSpan w:val="9"/>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800" w:type="dxa"/>
            <w:vAlign w:val="bottom"/>
            <w:gridSpan w:val="9"/>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5200" w:type="dxa"/>
            <w:vAlign w:val="bottom"/>
            <w:gridSpan w:val="8"/>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Loss</w:t>
            </w:r>
          </w:p>
        </w:tc>
        <w:tc>
          <w:tcPr>
            <w:tcW w:w="4480" w:type="dxa"/>
            <w:vAlign w:val="bottom"/>
            <w:gridSpan w:val="6"/>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3660" w:type="dxa"/>
            <w:vAlign w:val="bottom"/>
            <w:gridSpan w:val="2"/>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60" w:type="dxa"/>
            <w:vAlign w:val="bottom"/>
            <w:gridSpan w:val="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PART II. OTHER INFORMATION</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6900" w:type="dxa"/>
            <w:vAlign w:val="bottom"/>
            <w:gridSpan w:val="13"/>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6"/>
          </w:tcPr>
          <w:p>
            <w:pPr>
              <w:spacing w:after="0"/>
              <w:rPr>
                <w:sz w:val="24"/>
                <w:szCs w:val="24"/>
                <w:color w:val="auto"/>
              </w:rPr>
            </w:pPr>
          </w:p>
        </w:tc>
        <w:tc>
          <w:tcPr>
            <w:tcW w:w="3880" w:type="dxa"/>
            <w:vAlign w:val="bottom"/>
            <w:gridSpan w:val="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2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460" w:type="dxa"/>
            <w:vAlign w:val="bottom"/>
            <w:gridSpan w:val="12"/>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6920" w:type="dxa"/>
            <w:vAlign w:val="bottom"/>
            <w:gridSpan w:val="14"/>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620" w:type="dxa"/>
            <w:vAlign w:val="bottom"/>
            <w:gridSpan w:val="2"/>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NOTE REGARDING FORWARD-LOOKING STATEMENTS</w:t>
      </w:r>
    </w:p>
    <w:p>
      <w:pPr>
        <w:spacing w:after="0" w:line="227" w:lineRule="exact"/>
        <w:rPr>
          <w:sz w:val="20"/>
          <w:szCs w:val="20"/>
          <w:color w:val="auto"/>
        </w:rPr>
      </w:pPr>
    </w:p>
    <w:p>
      <w:pPr>
        <w:ind w:right="100" w:firstLine="567"/>
        <w:spacing w:after="0" w:line="258" w:lineRule="auto"/>
        <w:rPr>
          <w:sz w:val="20"/>
          <w:szCs w:val="20"/>
          <w:color w:val="auto"/>
        </w:rPr>
      </w:pPr>
      <w:r>
        <w:rPr>
          <w:rFonts w:ascii="Times New Roman" w:cs="Times New Roman" w:eastAsia="Times New Roman" w:hAnsi="Times New Roman"/>
          <w:sz w:val="18"/>
          <w:szCs w:val="18"/>
          <w:i w:val="1"/>
          <w:iCs w:val="1"/>
          <w:color w:val="auto"/>
        </w:rPr>
        <w:t>This Quarterly Report on Form 10-Q and any documents incorporated herein by reference, and our other public documents and statements our officers and representatives may make from time to time, contain forward-looking statements within the meaning of the federal securities laws. We intend for these statements to be entitled to the protection of the safe harbor provisions of these laws. You can find many of these statements by looking for words such as "may," "would," "could," "should," "will," "expect," "anticipate," "predict," "project," "potential," "continue," "contemplate," "seek," "assume," "believe," "intend," "plan," "forecast," "goal," "estimate," or other similar expressions which identify these forward-looking statements.</w:t>
      </w:r>
    </w:p>
    <w:p>
      <w:pPr>
        <w:spacing w:after="0" w:line="210" w:lineRule="exact"/>
        <w:rPr>
          <w:sz w:val="20"/>
          <w:szCs w:val="20"/>
          <w:color w:val="auto"/>
        </w:rPr>
      </w:pPr>
    </w:p>
    <w:p>
      <w:pPr>
        <w:ind w:firstLine="567"/>
        <w:spacing w:after="0" w:line="257" w:lineRule="auto"/>
        <w:rPr>
          <w:sz w:val="20"/>
          <w:szCs w:val="20"/>
          <w:color w:val="auto"/>
        </w:rPr>
      </w:pPr>
      <w:r>
        <w:rPr>
          <w:rFonts w:ascii="Times New Roman" w:cs="Times New Roman" w:eastAsia="Times New Roman" w:hAnsi="Times New Roman"/>
          <w:sz w:val="18"/>
          <w:szCs w:val="18"/>
          <w:i w:val="1"/>
          <w:iCs w:val="1"/>
          <w:color w:val="auto"/>
        </w:rPr>
        <w:t>These forward-looking statements involve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or outcomes expressed or implied by any of our forward-looking statements for a variety of reasons, including among others:</w:t>
      </w:r>
    </w:p>
    <w:p>
      <w:pPr>
        <w:spacing w:after="0" w:line="209" w:lineRule="exact"/>
        <w:rPr>
          <w:sz w:val="20"/>
          <w:szCs w:val="20"/>
          <w:color w:val="auto"/>
        </w:rPr>
      </w:pPr>
    </w:p>
    <w:p>
      <w:pPr>
        <w:ind w:left="660" w:right="500" w:hanging="328"/>
        <w:spacing w:after="0" w:line="262"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reliance on third-parties that we do not control for the performance of critical functions material to our business, such as carriers, fulfillment partners, and SaaS/IaaS providers;</w:t>
      </w:r>
    </w:p>
    <w:p>
      <w:pPr>
        <w:ind w:left="660" w:right="8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compete successfully against existing or future competitors or to effectively market our business and generate customer traffic;</w:t>
      </w:r>
    </w:p>
    <w:p>
      <w:pPr>
        <w:ind w:left="660" w:right="4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recession or other economic downturn, inflation, high interest rates, our exposure to the U.S. housing market, or other changes in U.S. and global economic conditions or U.S. consumer spending;</w:t>
      </w:r>
    </w:p>
    <w:p>
      <w:pPr>
        <w:ind w:left="660" w:right="44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increases in the price of importing goods into the U.S. or transporting to our customers the types of merchandise we sell or other supply chain challenges that limit our ability to deliver merchandise to our customers in a timely and cost-effective manner;</w:t>
      </w:r>
    </w:p>
    <w:p>
      <w:pPr>
        <w:ind w:left="660" w:right="36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or negative consequences we may encounter as a result of our changed company name, changed stock ticker symbol, changed stock exchange on which our common stock trades, or as a result of the use of our various brands including Beyond, Overstock, Bed Bath &amp; Beyond, Zulily, Backyard, and College Living;</w:t>
      </w:r>
    </w:p>
    <w:p>
      <w:pPr>
        <w:spacing w:after="0" w:line="1" w:lineRule="exact"/>
        <w:rPr>
          <w:rFonts w:ascii="Times New Roman" w:cs="Times New Roman" w:eastAsia="Times New Roman" w:hAnsi="Times New Roman"/>
          <w:sz w:val="18"/>
          <w:szCs w:val="18"/>
          <w:i w:val="1"/>
          <w:iCs w:val="1"/>
          <w:color w:val="auto"/>
        </w:rPr>
      </w:pPr>
    </w:p>
    <w:p>
      <w:pPr>
        <w:ind w:left="660" w:right="62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problems associated with the changing job market, changing job structure, changing compensation structure, or ability to attract and retain key personnel;</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generate and maintain unpaid natural traffic to our Website;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become profitable or generate positive cash flow from operations;</w:t>
      </w:r>
    </w:p>
    <w:p>
      <w:pPr>
        <w:spacing w:after="0" w:line="9" w:lineRule="exact"/>
        <w:rPr>
          <w:rFonts w:ascii="Times New Roman" w:cs="Times New Roman" w:eastAsia="Times New Roman" w:hAnsi="Times New Roman"/>
          <w:sz w:val="18"/>
          <w:szCs w:val="18"/>
          <w:i w:val="1"/>
          <w:iCs w:val="1"/>
          <w:color w:val="auto"/>
        </w:rPr>
      </w:pPr>
    </w:p>
    <w:p>
      <w:pPr>
        <w:ind w:left="660" w:right="8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challenges that would result in the event of any loss of functionality or unavailability of our Website or reduced performance of our transaction systems;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exposure to cybersecurity risks, risks of data loss and other security breaches;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risk that we may be required to recognize losses relating to our equity and other investments;</w:t>
      </w:r>
    </w:p>
    <w:p>
      <w:pPr>
        <w:spacing w:after="0" w:line="15" w:lineRule="exact"/>
        <w:rPr>
          <w:rFonts w:ascii="Times New Roman" w:cs="Times New Roman" w:eastAsia="Times New Roman" w:hAnsi="Times New Roman"/>
          <w:sz w:val="18"/>
          <w:szCs w:val="18"/>
          <w:i w:val="1"/>
          <w:iCs w:val="1"/>
          <w:color w:val="auto"/>
        </w:rPr>
      </w:pPr>
    </w:p>
    <w:p>
      <w:pPr>
        <w:ind w:left="660" w:right="100" w:hanging="328"/>
        <w:spacing w:after="0" w:line="236" w:lineRule="auto"/>
        <w:tabs>
          <w:tab w:leader="none" w:pos="655" w:val="left"/>
        </w:tabs>
        <w:numPr>
          <w:ilvl w:val="0"/>
          <w:numId w:val="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18"/>
          <w:szCs w:val="18"/>
          <w:i w:val="1"/>
          <w:iCs w:val="1"/>
          <w:color w:val="auto"/>
        </w:rPr>
        <w:t>the impacts that we would experience if governmental entities or providers of consumer devices and internet browsers further restrict or regulate the use of "cookie" tracking technologies;</w:t>
      </w:r>
    </w:p>
    <w:p>
      <w:pPr>
        <w:ind w:left="660" w:right="520" w:hanging="328"/>
        <w:spacing w:after="0" w:line="23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that any litigation, claims, or regulatory matters could have on our business, financial condition, results of operations, and cash flows;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to optimize and effectively operate our distribution center, warehouse, and customer service operations;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failures to effectively utilize technological advancements;</w:t>
      </w: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negative economic consequences of various global conflicts and macroeconomic factors;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negative consequences associated with our determination to partially self-insure our employee's health insurance;</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possibility that we may be unable to protect our proprietary technology and to obtain trademark protection for our marks;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 and future claims of intellectual property infringement to which we are subject;</w:t>
      </w:r>
    </w:p>
    <w:p>
      <w:pPr>
        <w:spacing w:after="0" w:line="9" w:lineRule="exact"/>
        <w:rPr>
          <w:rFonts w:ascii="Times New Roman" w:cs="Times New Roman" w:eastAsia="Times New Roman" w:hAnsi="Times New Roman"/>
          <w:sz w:val="18"/>
          <w:szCs w:val="18"/>
          <w:i w:val="1"/>
          <w:iCs w:val="1"/>
          <w:color w:val="auto"/>
        </w:rPr>
      </w:pPr>
    </w:p>
    <w:p>
      <w:pPr>
        <w:ind w:left="660" w:right="300" w:hanging="328"/>
        <w:spacing w:after="0" w:line="250"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reliance on third-parties that we do not control for their representations regarding product compliance with various laws and regulations;</w:t>
      </w:r>
    </w:p>
    <w:p>
      <w:pPr>
        <w:jc w:val="both"/>
        <w:ind w:left="660" w:right="300" w:hanging="328"/>
        <w:spacing w:after="0" w:line="255"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difficulties we may encounter as a result of our evolving business practices, including the expansion of our products and service offerings, our continuing expansion into international markets, and our changing approach to the sale of non-home items and sales through our various websites and brands;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ind w:left="660" w:right="320" w:hanging="328"/>
        <w:spacing w:after="0" w:line="262"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problems associated with our lack of visibility into, and our lack of influence over, our equity method investments, including our reliance on third-parties to timely and accurately report material events to us;</w:t>
      </w:r>
    </w:p>
    <w:p>
      <w:pPr>
        <w:ind w:left="660" w:right="540" w:hanging="328"/>
        <w:spacing w:after="0" w:line="250"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inability of Pelion Venture Partners to successfully manage the Medici Ventures, L.P. fund, in which we are the limited partner, or any other entity in which we also have a direct minority interest; and</w:t>
      </w:r>
    </w:p>
    <w:p>
      <w:pPr>
        <w:ind w:left="660" w:hanging="328"/>
        <w:spacing w:after="0"/>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other risks described in this report or in our other public filings.</w:t>
      </w:r>
    </w:p>
    <w:p>
      <w:pPr>
        <w:spacing w:after="0" w:line="232" w:lineRule="exact"/>
        <w:rPr>
          <w:sz w:val="20"/>
          <w:szCs w:val="20"/>
          <w:color w:val="auto"/>
        </w:rPr>
      </w:pPr>
    </w:p>
    <w:p>
      <w:pPr>
        <w:ind w:firstLine="567"/>
        <w:spacing w:after="0" w:line="254" w:lineRule="auto"/>
        <w:rPr>
          <w:sz w:val="20"/>
          <w:szCs w:val="20"/>
          <w:color w:val="auto"/>
        </w:rPr>
      </w:pPr>
      <w:r>
        <w:rPr>
          <w:rFonts w:ascii="Times New Roman" w:cs="Times New Roman" w:eastAsia="Times New Roman" w:hAnsi="Times New Roman"/>
          <w:sz w:val="18"/>
          <w:szCs w:val="18"/>
          <w:i w:val="1"/>
          <w:iCs w:val="1"/>
          <w:color w:val="auto"/>
        </w:rPr>
        <w:t>In evaluating all forward-looking statements, you should specifically consider the risks outlined above and in this report and our Annual Report on Form 10-K for the year ended December 31, 2023, filed with the SEC on February 23, 2024, especially under the headings "Special Cautionary Note Regarding Forward-Looking Statements,"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9"/>
        </w:trPr>
        <w:tc>
          <w:tcPr>
            <w:tcW w:w="1280" w:type="dxa"/>
            <w:vAlign w:val="bottom"/>
            <w:tcBorders>
              <w:top w:val="single" w:sz="8" w:color="0000FF"/>
            </w:tcBorders>
          </w:tcPr>
          <w:p>
            <w:pPr>
              <w:spacing w:after="0"/>
              <w:rPr>
                <w:sz w:val="24"/>
                <w:szCs w:val="24"/>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8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80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20"/>
                <w:szCs w:val="20"/>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1280" w:type="dxa"/>
            <w:vAlign w:val="bottom"/>
            <w:shd w:val="clear" w:color="auto" w:fill="CCEEFF"/>
          </w:tcPr>
          <w:p>
            <w:pPr>
              <w:spacing w:after="0"/>
              <w:rPr>
                <w:sz w:val="19"/>
                <w:szCs w:val="19"/>
                <w:color w:val="auto"/>
              </w:rPr>
            </w:pPr>
          </w:p>
        </w:tc>
        <w:tc>
          <w:tcPr>
            <w:tcW w:w="680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$1,381 and $1,298</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350,073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0" w:type="dxa"/>
            <w:vAlign w:val="bottom"/>
          </w:tcPr>
          <w:p>
            <w:pPr>
              <w:spacing w:after="0"/>
              <w:rPr>
                <w:sz w:val="1"/>
                <w:szCs w:val="1"/>
                <w:color w:val="auto"/>
              </w:rPr>
            </w:pPr>
          </w:p>
        </w:tc>
      </w:tr>
      <w:tr>
        <w:trPr>
          <w:trHeight w:val="229"/>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 including securities measured at fair value of $32,328 and $41,046</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155,873</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12,951</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577,258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635,818</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6800" w:type="dxa"/>
            <w:vAlign w:val="bottom"/>
            <w:shd w:val="clear" w:color="auto" w:fill="CCEEFF"/>
          </w:tcPr>
          <w:p>
            <w:pPr>
              <w:jc w:val="center"/>
              <w:ind w:right="119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73,682</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debt, net held for sale</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245,875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232,395</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230"/>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289,511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276,686</w:t>
            </w:r>
          </w:p>
        </w:tc>
        <w:tc>
          <w:tcPr>
            <w:tcW w:w="0" w:type="dxa"/>
            <w:vAlign w:val="bottom"/>
          </w:tcPr>
          <w:p>
            <w:pPr>
              <w:spacing w:after="0"/>
              <w:rPr>
                <w:sz w:val="1"/>
                <w:szCs w:val="1"/>
                <w:color w:val="auto"/>
              </w:rPr>
            </w:pPr>
          </w:p>
        </w:tc>
      </w:tr>
      <w:tr>
        <w:trPr>
          <w:trHeight w:val="210"/>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on the following page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280" w:type="dxa"/>
            <w:vAlign w:val="bottom"/>
            <w:tcBorders>
              <w:top w:val="single" w:sz="8" w:color="0000FF"/>
            </w:tcBorders>
          </w:tcPr>
          <w:p>
            <w:pPr>
              <w:spacing w:after="0"/>
              <w:rPr>
                <w:sz w:val="24"/>
                <w:szCs w:val="24"/>
                <w:color w:val="auto"/>
              </w:rPr>
            </w:pPr>
          </w:p>
        </w:tc>
        <w:tc>
          <w:tcPr>
            <w:tcW w:w="680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680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240" w:type="dxa"/>
            <w:vAlign w:val="bottom"/>
          </w:tcPr>
          <w:p>
            <w:pPr>
              <w:spacing w:after="0"/>
              <w:rPr>
                <w:sz w:val="20"/>
                <w:szCs w:val="20"/>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0"/>
                <w:szCs w:val="20"/>
                <w:color w:val="auto"/>
              </w:rPr>
            </w:pPr>
          </w:p>
        </w:tc>
        <w:tc>
          <w:tcPr>
            <w:tcW w:w="1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280" w:type="dxa"/>
            <w:vAlign w:val="bottom"/>
            <w:tcBorders>
              <w:bottom w:val="single" w:sz="8" w:color="CCEEFF"/>
            </w:tcBorders>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authorized shares - 5,000, issued and outstanding - none</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authorized shares - 100,000</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Issued shares - 52,210 and 51,770</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shares - 45,733 and 45,414</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1,013,360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1,007,649</w:t>
            </w:r>
          </w:p>
        </w:tc>
        <w:tc>
          <w:tcPr>
            <w:tcW w:w="0" w:type="dxa"/>
            <w:vAlign w:val="bottom"/>
          </w:tcPr>
          <w:p>
            <w:pPr>
              <w:spacing w:after="0"/>
              <w:rPr>
                <w:sz w:val="1"/>
                <w:szCs w:val="1"/>
                <w:color w:val="auto"/>
              </w:rPr>
            </w:pPr>
          </w:p>
        </w:tc>
      </w:tr>
      <w:tr>
        <w:trPr>
          <w:trHeight w:val="229"/>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(555,599)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(481,671)</w:t>
            </w:r>
          </w:p>
        </w:tc>
        <w:tc>
          <w:tcPr>
            <w:tcW w:w="0" w:type="dxa"/>
            <w:vAlign w:val="bottom"/>
          </w:tcPr>
          <w:p>
            <w:pPr>
              <w:spacing w:after="0"/>
              <w:rPr>
                <w:sz w:val="1"/>
                <w:szCs w:val="1"/>
                <w:color w:val="auto"/>
              </w:rPr>
            </w:pPr>
          </w:p>
        </w:tc>
      </w:tr>
      <w:tr>
        <w:trPr>
          <w:trHeight w:val="229"/>
        </w:trPr>
        <w:tc>
          <w:tcPr>
            <w:tcW w:w="8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8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- 6,477 and 6,356</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(166,345)</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287,747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359,132</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635,818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(Unaudited)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80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(73,928)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0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2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(Unaudited)</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30"/>
        </w:trPr>
        <w:tc>
          <w:tcPr>
            <w:tcW w:w="20" w:type="dxa"/>
            <w:vAlign w:val="bottom"/>
          </w:tcPr>
          <w:p>
            <w:pPr>
              <w:spacing w:after="0"/>
              <w:rPr>
                <w:sz w:val="19"/>
                <w:szCs w:val="19"/>
                <w:color w:val="auto"/>
              </w:rPr>
            </w:pP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 on cash flow hedges, net of expense for taxes of $0 and $0</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20" w:type="dxa"/>
            <w:vAlign w:val="bottom"/>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(10,303)</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3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480" w:type="dxa"/>
            <w:vAlign w:val="bottom"/>
          </w:tcPr>
          <w:p>
            <w:pPr>
              <w:spacing w:after="0"/>
              <w:rPr>
                <w:sz w:val="24"/>
                <w:szCs w:val="24"/>
                <w:color w:val="auto"/>
              </w:rPr>
            </w:pPr>
          </w:p>
        </w:tc>
        <w:tc>
          <w:tcPr>
            <w:tcW w:w="3780" w:type="dxa"/>
            <w:vAlign w:val="bottom"/>
            <w:gridSpan w:val="2"/>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60" w:type="dxa"/>
            <w:vAlign w:val="bottom"/>
            <w:gridSpan w:val="3"/>
          </w:tcPr>
          <w:p>
            <w:pPr>
              <w:jc w:val="center"/>
              <w:ind w:left="1330"/>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780" w:type="dxa"/>
            <w:vAlign w:val="bottom"/>
            <w:gridSpan w:val="2"/>
          </w:tcPr>
          <w:p>
            <w:pPr>
              <w:jc w:val="center"/>
              <w:ind w:right="19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 attributable to stockholders of Beyond, Inc.</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of common stock issued</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51,102</w:t>
            </w: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stock issued upon vesting of restricted stock</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3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51,438</w:t>
            </w:r>
          </w:p>
        </w:tc>
      </w:tr>
      <w:tr>
        <w:trPr>
          <w:trHeight w:val="209"/>
        </w:trPr>
        <w:tc>
          <w:tcPr>
            <w:tcW w:w="20" w:type="dxa"/>
            <w:vAlign w:val="bottom"/>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of treasury stock</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r>
      <w:tr>
        <w:trPr>
          <w:trHeight w:val="229"/>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3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6,247</w:t>
            </w:r>
          </w:p>
        </w:tc>
      </w:tr>
      <w:tr>
        <w:trPr>
          <w:trHeight w:val="223"/>
        </w:trPr>
        <w:tc>
          <w:tcPr>
            <w:tcW w:w="20" w:type="dxa"/>
            <w:vAlign w:val="bottom"/>
          </w:tcPr>
          <w:p>
            <w:pPr>
              <w:spacing w:after="0"/>
              <w:rPr>
                <w:sz w:val="19"/>
                <w:szCs w:val="19"/>
                <w:color w:val="auto"/>
              </w:rPr>
            </w:pPr>
          </w:p>
        </w:tc>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shares of common stock outstanding</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45,191</w:t>
            </w:r>
          </w:p>
        </w:tc>
      </w:tr>
      <w:tr>
        <w:trPr>
          <w:trHeight w:val="229"/>
        </w:trPr>
        <w:tc>
          <w:tcPr>
            <w:tcW w:w="20" w:type="dxa"/>
            <w:vAlign w:val="bottom"/>
          </w:tcPr>
          <w:p>
            <w:pPr>
              <w:spacing w:after="0"/>
              <w:rPr>
                <w:sz w:val="19"/>
                <w:szCs w:val="19"/>
                <w:color w:val="auto"/>
              </w:rPr>
            </w:pP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37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Pr>
          <w:p>
            <w:pPr>
              <w:spacing w:after="0"/>
              <w:rPr>
                <w:sz w:val="23"/>
                <w:szCs w:val="23"/>
                <w:color w:val="auto"/>
              </w:rPr>
            </w:pPr>
          </w:p>
        </w:tc>
        <w:tc>
          <w:tcPr>
            <w:tcW w:w="4740" w:type="dxa"/>
            <w:vAlign w:val="bottom"/>
            <w:gridSpan w:val="2"/>
            <w:shd w:val="clear" w:color="auto" w:fill="CCEEFF"/>
          </w:tcPr>
          <w:p>
            <w:pPr>
              <w:spacing w:after="0"/>
              <w:rPr>
                <w:sz w:val="23"/>
                <w:szCs w:val="23"/>
                <w:color w:val="auto"/>
              </w:rPr>
            </w:pPr>
          </w:p>
        </w:tc>
        <w:tc>
          <w:tcPr>
            <w:tcW w:w="3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37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4740" w:type="dxa"/>
            <w:vAlign w:val="bottom"/>
            <w:gridSpan w:val="2"/>
            <w:shd w:val="clear" w:color="auto" w:fill="CCEEFF"/>
          </w:tcPr>
          <w:p>
            <w:pPr>
              <w:spacing w:after="0"/>
              <w:rPr>
                <w:sz w:val="23"/>
                <w:szCs w:val="23"/>
                <w:color w:val="auto"/>
              </w:rPr>
            </w:pPr>
          </w:p>
        </w:tc>
        <w:tc>
          <w:tcPr>
            <w:tcW w:w="33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8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982,718</w:t>
            </w:r>
          </w:p>
        </w:tc>
      </w:tr>
      <w:tr>
        <w:trPr>
          <w:trHeight w:val="230"/>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stock issued for ESPP purchases</w:t>
            </w:r>
          </w:p>
        </w:tc>
        <w:tc>
          <w:tcPr>
            <w:tcW w:w="3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1,013,360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989,634</w:t>
            </w: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(481,671)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(173,829)</w:t>
            </w: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(555,599)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(184,136)</w:t>
            </w: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9"/>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3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09"/>
        </w:trPr>
        <w:tc>
          <w:tcPr>
            <w:tcW w:w="20" w:type="dxa"/>
            <w:vAlign w:val="bottom"/>
          </w:tcPr>
          <w:p>
            <w:pPr>
              <w:spacing w:after="0"/>
              <w:rPr>
                <w:sz w:val="18"/>
                <w:szCs w:val="18"/>
                <w:color w:val="auto"/>
              </w:rPr>
            </w:pPr>
          </w:p>
        </w:tc>
        <w:tc>
          <w:tcPr>
            <w:tcW w:w="4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w:t>
            </w:r>
          </w:p>
        </w:tc>
        <w:tc>
          <w:tcPr>
            <w:tcW w:w="3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7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(166,345)</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(162,546)</w:t>
            </w:r>
          </w:p>
        </w:tc>
      </w:tr>
      <w:tr>
        <w:trPr>
          <w:trHeight w:val="230"/>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withholding upon vesting of employee stock awards</w:t>
            </w:r>
          </w:p>
        </w:tc>
        <w:tc>
          <w:tcPr>
            <w:tcW w:w="33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(164,480)</w:t>
            </w: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3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640,505</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78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Beyond, Inc.</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80" w:type="dxa"/>
            <w:vAlign w:val="bottom"/>
          </w:tcPr>
          <w:p>
            <w:pPr>
              <w:jc w:val="center"/>
              <w:ind w:left="18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 w:type="dxa"/>
            <w:vAlign w:val="bottom"/>
          </w:tcPr>
          <w:p>
            <w:pPr>
              <w:spacing w:after="0"/>
              <w:rPr>
                <w:sz w:val="20"/>
                <w:szCs w:val="20"/>
                <w:color w:val="auto"/>
              </w:rPr>
            </w:pPr>
          </w:p>
        </w:tc>
        <w:tc>
          <w:tcPr>
            <w:tcW w:w="2800" w:type="dxa"/>
            <w:vAlign w:val="bottom"/>
            <w:gridSpan w:val="4"/>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Stock-based compensation to employees and directors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decrease in deferred income taxes,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from equity method securities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(34,610)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Expenditures for property and equipment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Disbursement for notes receivable</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Payments of taxes withheld upon vesting of employee stock awards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Beyond,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Beyond, Inc. is an e-commerce retailer with a singular focus: connecting consumers with products and services that unlock their homes' potential. As the owner of the Bed Bath &amp; Beyond, Overstock, Zulily, and other related brands and associated intellectual property, our suite of online shopping brands features millions of products for various life stages that millions of customers visit each month.</w:t>
      </w:r>
    </w:p>
    <w:p>
      <w:pPr>
        <w:spacing w:after="0" w:line="20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used herein, "Beyond," "the Company," "we," "our" and similar terms include Beyond, Inc. and its controlled subsidiaries, unless the context indicates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5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prepared the accompanying unaudited consolidated financial statements pursuant to the rules and regulations of the Securities and Exchange Commission ("SEC") regarding interim financial reporting. Accordingly, certain information and footnote disclosures normally included in financial statements prepared in accordance with accounting principles generally accepted in the United States ("GAAP") have been omitted in accordance with the rules and regulations of the SEC. These financial statements should be read in conjunction with our audited annual consolidated financial statements and related notes included in our Annual Report on Form 10-K for the year ended December 31, 2023. There have been no significant changes to our significant accounting policies disclosed in Note 2—Accounting Policies and Supplemental Disclosures, included in Part II, Item 8, Financial Statements and Supplementary Data, of our Annual Report on Form 10-K for the year ended December 31, 2023, except as disclosed below.</w:t>
      </w:r>
    </w:p>
    <w:p>
      <w:pPr>
        <w:spacing w:after="0" w:line="21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our accounts and the accounts of our wholly-owned subsidiaries and reflect all adjustments, consisting only of normal recurring adjustments, which are, in our opinion, necessary for a fair presentation of results for the interim periods presented. All intercompany account balances and transactions have been eliminated in consolidation. The results of operations for the three months ended March 31, 2024 are not necessarily indicative of the results to be expected for any future period or the full fiscal year, due to seasonality and other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our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and contingencies. Although these estimates are based on our best knowledge of current events and actions that we may undertake in the future, our accounting of these estimates may change from period to period. To the extent there are differences between these estimates and actual results, our consolidated financial statements may be materially affected.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presentation in the income statement</w:t>
      </w:r>
    </w:p>
    <w:p>
      <w:pPr>
        <w:spacing w:after="0" w:line="254"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2024, the Company changed the presentation for merchant fees associated with customer payments made by credit cards and other payment methods and customer service costs. Under the new presentation, the Company includes such expenses in a separate line in operating expenses labeled, "Customer service and merchant fees", whereas previously, these expenses were included in Cost of goods sold.</w:t>
      </w:r>
    </w:p>
    <w:p>
      <w:pPr>
        <w:spacing w:after="0" w:line="20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concluded that such a change in presentation is preferable in the circumstances because the treatment of these costs as operating expenses is aligned with the changes in business and strategy. The change will also provide greater transparency in the Company's external disclosures and related communications with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change in accounting policy has been applied retrospectively, and the unaudited consolidated statements of operations reflect the effect of this accounting principle change for all periods presented. This change in presentation had no impact on Loss before income taxes, Net loss, or Net loss per share of common stock basic or diluted. The consolidated balance sheets, consolidated statements of comprehensive loss, consolidated statements of changes in stockholders' equity, and consolidated statements of cash flows were not impacted by this accounting policy change.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presentation to the Company's unaudited consolidated statements of operations were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6"/>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2023</w:t>
            </w:r>
          </w:p>
        </w:tc>
        <w:tc>
          <w:tcPr>
            <w:tcW w:w="1800" w:type="dxa"/>
            <w:vAlign w:val="bottom"/>
            <w:tcBorders>
              <w:bottom w:val="single" w:sz="8" w:color="auto"/>
            </w:tcBorders>
          </w:tcPr>
          <w:p>
            <w:pPr>
              <w:spacing w:after="0"/>
              <w:rPr>
                <w:sz w:val="20"/>
                <w:szCs w:val="20"/>
                <w:color w:val="auto"/>
              </w:rPr>
            </w:pPr>
          </w:p>
        </w:tc>
      </w:tr>
      <w:tr>
        <w:trPr>
          <w:trHeight w:val="223"/>
        </w:trPr>
        <w:tc>
          <w:tcPr>
            <w:tcW w:w="4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Previously reported</w:t>
            </w:r>
          </w:p>
        </w:tc>
        <w:tc>
          <w:tcPr>
            <w:tcW w:w="300" w:type="dxa"/>
            <w:vAlign w:val="bottom"/>
          </w:tcPr>
          <w:p>
            <w:pPr>
              <w:spacing w:after="0"/>
              <w:rPr>
                <w:sz w:val="19"/>
                <w:szCs w:val="19"/>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Effect of change</w:t>
            </w:r>
          </w:p>
        </w:tc>
        <w:tc>
          <w:tcPr>
            <w:tcW w:w="420" w:type="dxa"/>
            <w:vAlign w:val="bottom"/>
          </w:tcPr>
          <w:p>
            <w:pPr>
              <w:spacing w:after="0"/>
              <w:rPr>
                <w:sz w:val="19"/>
                <w:szCs w:val="19"/>
                <w:color w:val="auto"/>
              </w:rPr>
            </w:pPr>
          </w:p>
        </w:tc>
        <w:tc>
          <w:tcPr>
            <w:tcW w:w="18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adjusted</w:t>
            </w: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rPr>
              <w:t>(11,971)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279,456</w:t>
            </w: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6"/>
              </w:rPr>
              <w:t>11,971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101,684</w:t>
            </w: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2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96"/>
              </w:rPr>
              <w:t>11,971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11,971</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52"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requires public entities to disclose information about their reportable segments' significant expenses and other segment items on an interim and annual basis. For public entities, ASU 2023-07 is required to be adopted for annual periods beginning after December 15, 2023 and for interim periods within fiscal years beginning after December 15, 2024, with early adoption permitted. The Company is currently evaluating the impact of the adoption of this ASU on our consolidated financial statements and related disclosures. This ASU will likely result in us including the additional required disclosures when adopted.</w:t>
      </w:r>
    </w:p>
    <w:p>
      <w:pPr>
        <w:spacing w:after="0" w:line="20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disaggregated information about a reporting entity's effective tax rate reconciliation as well as additional information on income taxes paid. For public entities, ASU 2023-09 is required to be adopted for annual periods beginning after December 15, 2024, with early adoption permitted. The Company is currently evaluating the impact of the adoption of this ASU on our consolidated financial statements and related disclosures. This ASU will likely result in us including the additional required disclosures when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25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assets and liabilities measured at fair value on a recurring basis using the following levels of inputs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March 31, 2024</w:t>
            </w:r>
          </w:p>
        </w:tc>
        <w:tc>
          <w:tcPr>
            <w:tcW w:w="102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32,328</w:t>
            </w: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Trading securities held in a "rabbi trust"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242,734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42,936</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562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accrual "rabbi trust" (2)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2023</w:t>
            </w:r>
          </w:p>
        </w:tc>
        <w:tc>
          <w:tcPr>
            <w:tcW w:w="96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19"/>
                <w:szCs w:val="19"/>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debt securities (1)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10,484</w:t>
            </w:r>
          </w:p>
        </w:tc>
      </w:tr>
      <w:tr>
        <w:trPr>
          <w:trHeight w:val="229"/>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Trading securities held in a "rabbi trust"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298,451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4"/>
        </w:trPr>
        <w:tc>
          <w:tcPr>
            <w:tcW w:w="562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29"/>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 accrual "rabbi trust" (2)</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6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Prepaids and other current assets and Other long-term assets, net in the consolidated balance sheets.</w:t>
      </w:r>
    </w:p>
    <w:p>
      <w:pPr>
        <w:spacing w:after="0" w:line="27" w:lineRule="exact"/>
        <w:rPr>
          <w:rFonts w:ascii="Times New Roman" w:cs="Times New Roman" w:eastAsia="Times New Roman" w:hAnsi="Times New Roman"/>
          <w:sz w:val="18"/>
          <w:szCs w:val="18"/>
          <w:color w:val="auto"/>
        </w:rPr>
      </w:pPr>
    </w:p>
    <w:p>
      <w:pPr>
        <w:ind w:left="1100" w:hanging="444"/>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Accrued liabilities in the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activity for our Level 3 investments (in thousands):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51"/>
        </w:trPr>
        <w:tc>
          <w:tcPr>
            <w:tcW w:w="906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82,787</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purchases of Level 3 investments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(41,741)</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interest on Level 3 investments</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 investments at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51,530</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fair value of Level 3 investments</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on Level 3 investments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3 investments at March 31, 2024</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42,936</w:t>
            </w:r>
          </w:p>
        </w:tc>
      </w:tr>
      <w:tr>
        <w:trPr>
          <w:trHeight w:val="20"/>
        </w:trPr>
        <w:tc>
          <w:tcPr>
            <w:tcW w:w="9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ASSETS HELD FOR SALE</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Company committed to a plan to sell its corporate headquarters and associated building loan on the corporate headquarters (the disposal group). Management has selected a broker to actively market and sell its corporate headquarters. The corporate headquarters and related assets and liabilities met the criteria to be classified as held for sale as of March 31, 2024 and December 31, 2023 and are presented separately on our consolidated balance sheets. As of March 31, 2024, the corporate headquarters is being actively marketed to sell and is expected to sell within one year.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net (excluding assets held for sale) consist of the following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 including internal-use software and website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249,208</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r>
      <w:tr>
        <w:trPr>
          <w:trHeight w:val="223"/>
        </w:trPr>
        <w:tc>
          <w:tcPr>
            <w:tcW w:w="8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261,922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(234,345)</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27,577</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780" w:firstLine="648"/>
        <w:spacing w:after="0" w:line="312" w:lineRule="auto"/>
        <w:rPr>
          <w:sz w:val="20"/>
          <w:szCs w:val="20"/>
          <w:color w:val="auto"/>
        </w:rPr>
      </w:pPr>
      <w:r>
        <w:rPr>
          <w:rFonts w:ascii="Times New Roman" w:cs="Times New Roman" w:eastAsia="Times New Roman" w:hAnsi="Times New Roman"/>
          <w:sz w:val="17"/>
          <w:szCs w:val="17"/>
          <w:color w:val="auto"/>
        </w:rPr>
        <w:t>Capitalized costs associated with internal-use software and website development, both developed internally and acquired externally, and depreciation of costs for the same periods associated with internal-use software and website development consist of the following (in thousands):</w:t>
      </w:r>
    </w:p>
    <w:p>
      <w:pPr>
        <w:spacing w:after="0" w:line="47"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804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and website development</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of internal-use software and website development</w:t>
            </w: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r>
    </w:tbl>
    <w:p>
      <w:pPr>
        <w:spacing w:after="0" w:line="314"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is classified within the corresponding operating expense categories on our consolidated statements of operations as follows (in thousands):</w:t>
      </w:r>
    </w:p>
    <w:p>
      <w:pPr>
        <w:spacing w:after="0" w:line="63"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depreciation</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5,980</w:t>
            </w:r>
          </w:p>
        </w:tc>
      </w:tr>
      <w:tr>
        <w:trPr>
          <w:trHeight w:val="20"/>
        </w:trPr>
        <w:tc>
          <w:tcPr>
            <w:tcW w:w="8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5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 March 6, 2024, we entered into an Intellectual Property Asset Purchase Agreement with Zulily ABC, LLC ("Zulily") to acquire certain intellectual property related to the Zulily brand. The aggregate purchase price, inclusive of direct acquisition-related expenses totaled $4.9 million which has been allocated to two major asset categories consisting of $4.1 million, for trade names with an indefinite useful life and $716,000 for customer lists with an estimated useful life of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49"/>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Intangible assets, net consist of the following (in thousands):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280" w:type="dxa"/>
            <w:vAlign w:val="bottom"/>
            <w:tcBorders>
              <w:bottom w:val="single" w:sz="8" w:color="CCEEFF"/>
            </w:tcBorders>
          </w:tcPr>
          <w:p>
            <w:pPr>
              <w:spacing w:after="0"/>
              <w:rPr>
                <w:sz w:val="20"/>
                <w:szCs w:val="20"/>
                <w:color w:val="auto"/>
              </w:rPr>
            </w:pPr>
          </w:p>
        </w:tc>
        <w:tc>
          <w:tcPr>
            <w:tcW w:w="68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gross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5,331</w:t>
            </w:r>
          </w:p>
        </w:tc>
      </w:tr>
      <w:tr>
        <w:trPr>
          <w:trHeight w:val="229"/>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of intangible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w:t>
            </w:r>
          </w:p>
        </w:tc>
      </w:tr>
      <w:tr>
        <w:trPr>
          <w:trHeight w:val="248"/>
        </w:trPr>
        <w:tc>
          <w:tcPr>
            <w:tcW w:w="8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1040" w:hanging="384"/>
        <w:spacing w:after="0"/>
        <w:tabs>
          <w:tab w:leader="none" w:pos="10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2024, the weighted average remaining useful life for intangible assets subject to amortization, gross was 4.4 years.</w:t>
      </w:r>
    </w:p>
    <w:p>
      <w:pPr>
        <w:spacing w:after="0" w:line="248"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SECURITIES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Equity securities consist of the following (in thousands):</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97"/>
        </w:trPr>
        <w:tc>
          <w:tcPr>
            <w:tcW w:w="8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ASC 323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114,827</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securities accounted for under the equity method under the fair value option</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41,046</w:t>
            </w:r>
          </w:p>
        </w:tc>
      </w:tr>
      <w:tr>
        <w:trPr>
          <w:trHeight w:val="248"/>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Our equity securities accounted for under the equity method under ASC 323 include equity securities in which we can exercise significant influence, but not control, over these entities through holding more than a 20% voting interest in the entity.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equity securities accounted for under the equity method (ASC 323) and related ownership interest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41"/>
        </w:trPr>
        <w:tc>
          <w:tcPr>
            <w:tcW w:w="906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25"/>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Medici Ventures, L.P.</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tZERO Group, Inc.</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SpeedRoute, LLC</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r>
    </w:tbl>
    <w:p>
      <w:pPr>
        <w:spacing w:after="0" w:line="30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carrying amount of our equity method securities was $137.4 million at March 31, 2024, which is included in Equity securities on our consolidated balance sheets, of which $32.3 million was valued under the fair value option (tZERO and SpeedRoute). For our investments in Medici Ventures, L.P., tZERO, and SpeedRoute there was no difference in the carrying amount of the assets and liabilities and our maximum exposure to loss, and there was no difference between the carrying amount of our investment in Medici Ventures, L.P., and the amount of underlying equity we have in the entity's net assets.</w:t>
      </w:r>
    </w:p>
    <w:p>
      <w:pPr>
        <w:spacing w:after="0" w:line="21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net loss recognized on equity method securities recorded in Other expense, net in our consolidated statements of operations (in thousands):</w:t>
      </w:r>
    </w:p>
    <w:p>
      <w:pPr>
        <w:spacing w:after="0" w:line="69"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804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recognized on our proportionate share of the net assets of our equity method securities</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fair value of equity method securities held under fair value option</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(8,718)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S-X Rule 10-01(b)(1)</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 10-01(b)(1) of Regulation S-X, which applies to interim reports on Form 10-Q, the Company must determine if its equity method investees are considered "significant subsidiaries". Summarized income statement information of an equity method investee is required in an interim report if the significance criteria are met as defined under SEC guidance. For the periods ended March 31, 2024 and 2023, none of our equity method investees met the significance criteria.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BORROWINGS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March 2020, we entered into two loan agreements. The loan agreements provide a $34.5 million Senior Note, carrying interest at an annual rate of 4.242%, and a $13.0 million Mezzanine Note, carrying interest at an annual rate of 5.002%. The loans carry a blended annual interest rate of 4.45%. The Senior Note is for a 10-year term (stated maturity date is March 6, 2030) and requires interest only payments, with the principal amount and any then unpaid interest due and payable at the end of the 10-year term. The Mezzanine Note has a stated 10-year term, though the agreement requires principal and interest payments monthly over approximately a 46-month payment period. Our debt issuance costs and debt discount are amortized using the straight-line basis which approximates the effective interest method.</w:t>
      </w:r>
    </w:p>
    <w:p>
      <w:pPr>
        <w:spacing w:after="0" w:line="21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January 2024, we repaid the entire outstanding balance under the Mezzanine Note. As of March 31, 2024, the total outstanding debt on the Senior Note was $34.2 million, net of $293,000 in capitalized debt issuance costs. Our total outstanding debt on the Senior Note is classified as held-for-sale and included in Long-term debt, net held for sale on our consolidated balance sheets. See Note 4—Assets Held for Sale for further information.</w:t>
      </w:r>
    </w:p>
    <w:p>
      <w:pPr>
        <w:spacing w:after="0" w:line="20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Senior Note includes certain financial and non-financial covenants and are secured by our corporate headquarters and the related land and rank senior to stockholders. The financial covenants require that Beyond maintain a net worth in excess of $15.0 million and minimum liquid assets of $1.0 million for the remainder of the term that the Senior Note is outstanding. We are in compliance with our debt covenants and continue to monitor our ongoing compliance with our debt covenants.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have operating leases for warehouses, office space, and data centers. Our leases have remaining lease terms of one year to four years, some of which may include options to extend the leases perpetually, and some of which may include options to terminate the leases within one year. Variable lease costs include executory costs, such as taxes, insurance, and maintenance.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expenses were as follows (in thousands):</w:t>
      </w:r>
    </w:p>
    <w:p>
      <w:pPr>
        <w:spacing w:after="0" w:line="133"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802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other information related to leases (in thousands):</w:t>
      </w:r>
    </w:p>
    <w:p>
      <w:pPr>
        <w:spacing w:after="0" w:line="13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operating cash flows from lease arrangements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1,492</w:t>
            </w:r>
          </w:p>
        </w:tc>
      </w:tr>
      <w:tr>
        <w:trPr>
          <w:trHeight w:val="554"/>
        </w:trPr>
        <w:tc>
          <w:tcPr>
            <w:tcW w:w="80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supplemental balance sheet information related to leases: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8"/>
        </w:trPr>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years</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years</w:t>
            </w: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Maturity of lease liabilities under our non-cancellable operating leases as of March 31, 2024,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440" w:type="dxa"/>
            <w:vAlign w:val="bottom"/>
          </w:tcPr>
          <w:p>
            <w:pPr>
              <w:spacing w:after="0"/>
              <w:rPr>
                <w:sz w:val="20"/>
                <w:szCs w:val="20"/>
                <w:color w:val="auto"/>
              </w:rPr>
            </w:pPr>
          </w:p>
        </w:tc>
        <w:tc>
          <w:tcPr>
            <w:tcW w:w="17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53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3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r>
      <w:tr>
        <w:trPr>
          <w:trHeight w:val="223"/>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48"/>
        </w:trPr>
        <w:tc>
          <w:tcPr>
            <w:tcW w:w="90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 and contingencies</w:t>
      </w:r>
    </w:p>
    <w:p>
      <w:pPr>
        <w:spacing w:after="0" w:line="25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litigation concerning consumer protection, employment, intellectual property, claims under the securities laws, and other commercial matters related to the conduct and operation of our business and the sale of products on our Website. In connection with such litigation, we have been in the past and we may be in the future subject to significant damages. In some instances, other parties may have contractual indemnification obligations to us. However, such contractual obligations may prove unenforceable or non-collectible, and if we cannot enforce or collect on indemnification obligations, we may bear the full responsibility for damages, fees, and costs resulting from such litigation. We may also be subject to penalties and equitable remedies that could force us to alter important business practices.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The nature of the loss contingencies relating to claims that have been asserted against us are described below.</w:t>
      </w:r>
    </w:p>
    <w:p>
      <w:pPr>
        <w:spacing w:after="0" w:line="21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in October 2019, we received a subpoena from the SEC requiring us to produce documents and other information related to the Series A-1 Preferred stock dividend we announced to stockholders in June 2019 and requesting copies of trading plans ("10b5-1 plans") intended to comply with Rule 10b5-1 of the Securities and Exchange Act of 1934, as amended (the "Exchange Act") entered into by certain officers and directors. In December 2019, we received a subpoena from the SEC requesting our insider trading policies and certain employment and consulting agreements. We also received requests from the SEC for our communications with our former Chief Executive Officer and Director, Patrick Byrne, and the matters referenced in the December 2019 subpoenas. In January 2021, we received a subpoena from the SEC requesting information regarding our retail guidance in 2019 and certain communications with current and former executives, board members, and investors. We continue to cooperate with the SEC on these matters.</w:t>
      </w:r>
    </w:p>
    <w:p>
      <w:pPr>
        <w:spacing w:after="0" w:line="2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September 27, 2019, a purported securities class action lawsuit was filed against us and our former Chief Executive Officer and former Chief Financial Officer in the United States District Court of Utah, alleging violations under Section 10(b), Rule 10b-5, Section 20(a), and Section 20A of the Exchange Act. On October 8, 2019, October 17, 2019, October 31, 2019, and November 20, 2019, four similar lawsuits were filed in the same court also naming us and the above referenced former executives as defendants, bringing similar claims under the Exchange Act, and seeking similar relief. These cases were consolidated into a single lawsuit in December 2019. The Court appointed The Mangrove Partners Master Fund Ltd. as lead plaintiff in January 2020. In March 2020, an amended consolidated complaint was filed against us, our former President (now Division Chief Executive Officer, Overstock), our former Chief Executive Officer, and our former Chief Financial Officer. We filed a motion to dismiss and, on September 28, 2020, the court granted our motion and entered judgment in our favor. The plaintiffs filed a motion to amend their complaint on October 23, 2020. The United States District Court of Utah granted the plaintiffs' motion to amend their complaint on January 6, 2021. The plaintiffs filed their amended complaint on January 11, 2021. We filed a motion to dismiss plaintiffs' amended complaint, and on September 20, 2021, the court granted our motion and entered judgment in our favor. On October 18, 2021, the plaintiffs filed a Notice of Appeal, appealing the ruling of the district court to the United States Court of Appeals for the Tenth Circuit. We are awaiting a ruling from the Tenth Circuit that heard oral argument on the appeal on February 9, 2023. No estimates of the possible losses or range of losses can be made at this time. We intend to continue to vigorously defend this consolidated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November 22, 2019, a shareholder derivative suit was filed against us and certain past and present directors and officers of ours in the United States District Court for the District of Delaware, with allegations that include: (i) breach of fiduciary duties, (ii) unjust enrichment, (iii) insider selling and misappropriation of the Company's information, and (iv) contribution under Sections 10(b) and 21D of the Exchange Act. On December 17, 2019, a similar lawsuit was filed in the same court, naming the same defendants, bringing similar claims, and seeking similar relief. These cases were consolidated into a single lawsuit in January 2020. In March 2020, the court entered a stay on litigation, pending the outcome of the securities class action motion to dismiss. The case remains stayed pending the outcome of the plaintiffs' appeal to the Tenth Circuit in the securities class action mentioned above. No estimates of the possible losses or range of losses can be made at this time. We intend to vigorously defend these actions.</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establish liabilities when a particular contingency is probable and estimable which are included in Accrued liabilities on our consolidated balance sheets. At March 31, 2024 and December 31, 2023, our established liabilities were not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INDEMNIFICATIONS AND GUARANTEES</w:t>
      </w:r>
    </w:p>
    <w:p>
      <w:pPr>
        <w:spacing w:after="0" w:line="229"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During our normal course of business, we have made certain indemnities, commitments, and guarantees under which we may be required to make payments in relation to certain transactions. These indemnities include, but are not limited to, indemnities we entered into in favor of Loan Core Capital Funding Corporation LLC under our building loan agreements, various lessors in connection with facility leases for certain claims arising from such facility or lease, the environmental indemnity we entered into in favor of the lenders under our prior loan agreements, customary indemnification arrangements in underwriting agreements and similar agreements, and indemnities to our directors and officers to the maximum extent permitted under the laws of the State of Delaware. The duration of these indemnities, commitments, and guarantees varies, and in certain cases, is indefinite. In addition, the majority of these indemnities, commitments, and guarantees do not provide for any limitation of the maximum potential future payments we could be obligated to make. As such, we are unable to estimate with any reasonableness our potential exposure under these items. We have not recorded any liability for these indemnities, commitments, and guarantees in the accompanying consolidated balance sheets. We do, however, accrue losses for any known contingent liability, including those that may arise from indemnification provisions, when future payment is both probable and reasonably estimable.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Each share of common stock has the right to one vote. The holders of common stock are also entitled to receive dividends declared by the Board of Directors out of funds legally available, subject to prior rights of holders of all classes of stock outstanding having priority rights as to dividends.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5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we did not repurchase any shares of our common stock under our stock repurchase program. As of March 31, 2024, we had $69.9 million available for future share repurchases under our current repurchase authorization through December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AWARDS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equity incentive and compensatory plans that provide for the grant of stock-based awards, including restricted stock and performance shares to employees and board members and provide employees the ability to purchase shares of our common stock through an employee stock purchase plan. Employee accounting applies to equity incentives and compensation granted by the Company to its own employees. When an award is forfeited prior to the vesting date, we recognize an adjustment for the previously recognized expense in the period of the forfeiture.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within the corresponding operating expense categories on our consolidated statements of operations as follows (in thousands):</w:t>
      </w:r>
    </w:p>
    <w:p>
      <w:pPr>
        <w:spacing w:after="0" w:line="69"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802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29"/>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w:t>
            </w:r>
          </w:p>
        </w:tc>
      </w:tr>
      <w:tr>
        <w:trPr>
          <w:trHeight w:val="248"/>
        </w:trPr>
        <w:tc>
          <w:tcPr>
            <w:tcW w:w="8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Beyond restricted stock unit awards</w:t>
      </w:r>
    </w:p>
    <w:p>
      <w:pPr>
        <w:spacing w:after="0" w:line="254"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7"/>
          <w:szCs w:val="17"/>
          <w:color w:val="auto"/>
        </w:rPr>
        <w:t>The Beyond, Inc. Amended and Restated 2005 Equity Incentive Plan provides for the grant of restricted stock units and other types of equity awards to employees and directors of the Company. The Compensation Committee of the Board of Directors approves grants of restricted stock unit awards to our officers, board members and employees. These restricted stock unit awards generally vest over three years at 33.3% at the end of the first year,</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33.3% at the end of the second year and 33.4% at the end of the third year, subject to the recipient's continuing service to us. During the first quarter of fiscal 2024, we changed our vesting schedule for newly granted restricted stock units from three years to four years. These restricted stock unit awards will vest at 25% each year. For the quarter ended March 31, 2024, we granted 193,350 restricted stock awards with a cumulative grant date fair value of $6.7 million under the new vesting schedule.</w:t>
      </w:r>
    </w:p>
    <w:p>
      <w:pPr>
        <w:spacing w:after="0" w:line="21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cost of restricted stock units is determined using the fair value of our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Shares</w:t>
      </w:r>
    </w:p>
    <w:p>
      <w:pPr>
        <w:spacing w:after="0" w:line="25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we granted 960,000 performance-based shares ("PSUs") to our executive management team. A portion of each grant of PSUs (25%) is eligible to vest based on our net revenue performance and the remaining portion (75%) is eligible to vest based on our stock price performance. The 2024 PSUs tied to stock price performance will be eligible to vest in three installments upon the achievement of three separate stock price hurdles during the three-year period following the grant date, with 33% of the PSUs earned if the average per-share closing price of our common stock over any 20 consecutive trading day period equals or exceeds $40.00 per share (but in no event prior to the first anniversary of the grant date), 33% of the PSUs earned if the average per-share closing price of our common stock over any 20 consecutive trading day period equals or exceeds $50.00 per share (but in no event prior to the second anniversary of the grant date), and 34% of the PSUs earned if the average per share closing price of our common stock over any 20 consecutive trading day period equals or exceeds $60.00 per share (but in no event prior to the third anniversary of the grant date), in each case subject to the recipient’s continued service through the vesting date. If a stock price hurdle is not achieved during the three years following the grant date, the portion of the award tied to such stock price hurdle will be forfeited.</w:t>
      </w:r>
    </w:p>
    <w:p>
      <w:pPr>
        <w:spacing w:after="0" w:line="221"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2024 PSUs tied to net revenue performance will vest based on our net revenue over three years, with one-third of the PSUs eligible to vest on each of the first, second, and third anniversaries of the grant date, subject to the recipient’s continued service through the vesting date. To be eligible to vest in any tranche of the PSUs tied to net revenue performance, we must meet the GAAP net revenue goal established for the applicable year.</w:t>
      </w:r>
    </w:p>
    <w:p>
      <w:pPr>
        <w:spacing w:after="0" w:line="203"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For the portion of the 2024 PSU grant that vests based on our net revenue performance, we recognize expense as compensation cost, the fair value on the date of grant over the performance period, taking into account the probability that we will satisfy the performance goals. For the portion of the 2024 PSUs that vest based on stock price hurdles, which is a market condition, we use a Monte Carlo valuation model to estimate the fair value as of the date of grant and expense compensation cost over the vesting period regardless of whether the market condition is ultimately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2024 PSUs is included in the stock-based compensation expense table above combined with the expense associated with our restricted stock units and ESPP. Stock-based compensation related to the PSUs was $1.5 million for the three months ended March 31, 2024.</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and PSU award activity (in thousands, except per share data):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31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80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ind w:right="130"/>
              <w:spacing w:after="0" w:line="171"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8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0"/>
        </w:trPr>
        <w:tc>
          <w:tcPr>
            <w:tcW w:w="8080" w:type="dxa"/>
            <w:vAlign w:val="bottom"/>
          </w:tcPr>
          <w:p>
            <w:pPr>
              <w:spacing w:after="0"/>
              <w:rPr>
                <w:sz w:val="15"/>
                <w:szCs w:val="15"/>
                <w:color w:val="auto"/>
              </w:rPr>
            </w:pPr>
          </w:p>
        </w:tc>
        <w:tc>
          <w:tcPr>
            <w:tcW w:w="980" w:type="dxa"/>
            <w:vAlign w:val="bottom"/>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Outstanding—beginning of year</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0" w:type="dxa"/>
            <w:vAlign w:val="bottom"/>
          </w:tcPr>
          <w:p>
            <w:pPr>
              <w:spacing w:after="0"/>
              <w:rPr>
                <w:sz w:val="1"/>
                <w:szCs w:val="1"/>
                <w:color w:val="auto"/>
              </w:rPr>
            </w:pPr>
          </w:p>
        </w:tc>
      </w:tr>
      <w:tr>
        <w:trPr>
          <w:trHeight w:val="230"/>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 at fair value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29"/>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2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0" w:type="dxa"/>
            <w:vAlign w:val="bottom"/>
          </w:tcPr>
          <w:p>
            <w:pPr>
              <w:spacing w:after="0"/>
              <w:rPr>
                <w:sz w:val="1"/>
                <w:szCs w:val="1"/>
                <w:color w:val="auto"/>
              </w:rPr>
            </w:pP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Outstanding—end of period</w:t>
            </w:r>
          </w:p>
        </w:tc>
        <w:tc>
          <w:tcPr>
            <w:tcW w:w="98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340" w:type="dxa"/>
            <w:vAlign w:val="bottom"/>
            <w:tcBorders>
              <w:top w:val="single" w:sz="8" w:color="CCEEFF"/>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54" w:lineRule="exact"/>
        <w:rPr>
          <w:sz w:val="20"/>
          <w:szCs w:val="20"/>
          <w:color w:val="auto"/>
        </w:rPr>
      </w:pPr>
    </w:p>
    <w:p>
      <w:pPr>
        <w:jc w:val="both"/>
        <w:ind w:right="280" w:firstLine="693"/>
        <w:spacing w:after="0" w:line="266" w:lineRule="auto"/>
        <w:rPr>
          <w:sz w:val="20"/>
          <w:szCs w:val="20"/>
          <w:color w:val="auto"/>
        </w:rPr>
      </w:pPr>
      <w:r>
        <w:rPr>
          <w:rFonts w:ascii="Times New Roman" w:cs="Times New Roman" w:eastAsia="Times New Roman" w:hAnsi="Times New Roman"/>
          <w:sz w:val="18"/>
          <w:szCs w:val="18"/>
          <w:color w:val="auto"/>
        </w:rPr>
        <w:t>Purchases under the 2021 Employee Stock Purchase Plan (the "ESPP") during the three months ended March 31, 2024 and 2023 were 56,575 shares and 68,011 shares, respectively, at an average purchase price per share of $16.53 and $16.46, respectively. At March 31, 2024, approximately 2.7 million shares of common stock remained available under the ESPP.</w:t>
      </w:r>
    </w:p>
    <w:p>
      <w:pPr>
        <w:spacing w:after="0" w:line="20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related to the ESPP is included in the stock-based compensation expense table above combined with the expense associated with our restricted stock units and PSU. Stock-based compensation related to the ESPP was $346,000 and $548,000 for the three months ended March 31, 2024 and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REVENUE AND CONTRACT LIABILITY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Unearned Revenue</w:t>
      </w:r>
    </w:p>
    <w:p>
      <w:pPr>
        <w:spacing w:after="0" w:line="25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unearned revenue from contracts with customers, including significant changes in unearned revenue balances during the periods presented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44,480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tcPr>
          <w:p>
            <w:pPr>
              <w:spacing w:after="0"/>
              <w:rPr>
                <w:sz w:val="19"/>
                <w:szCs w:val="19"/>
                <w:color w:val="auto"/>
              </w:rPr>
            </w:pPr>
          </w:p>
        </w:tc>
        <w:tc>
          <w:tcPr>
            <w:tcW w:w="17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6"/>
              </w:rPr>
              <w:t>35,290</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rPr>
              <w:t>(30,173)</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 at December 31, 2023</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010"/>
              <w:spacing w:after="0"/>
              <w:rPr>
                <w:sz w:val="20"/>
                <w:szCs w:val="20"/>
                <w:color w:val="auto"/>
              </w:rPr>
            </w:pPr>
            <w:r>
              <w:rPr>
                <w:rFonts w:ascii="Times New Roman" w:cs="Times New Roman" w:eastAsia="Times New Roman" w:hAnsi="Times New Roman"/>
                <w:sz w:val="18"/>
                <w:szCs w:val="18"/>
                <w:color w:val="auto"/>
                <w:w w:val="96"/>
              </w:rPr>
              <w:t>49,597</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deferral of revenue at period end, net</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33,448</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due to beginning contract liabilities recognized as revenue</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rPr>
              <w:t>(28,370)</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at March 31,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54,675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total unearned revenue related to outstanding loyalty program rewards was $12.9 million and $12.1 million at March 31, 2024</w:t>
      </w:r>
    </w:p>
    <w:p>
      <w:pPr>
        <w:spacing w:after="0" w:line="2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and December 31, 2023, respectively. Breakage income related to loyalty program rewards and gift cards is recognized in Net revenue in our consolidated statements of operations. Breakage included in revenue was $1.3 million and $849,000 for the three months ended March 31, 2024 and 2023, respectively. The timing of revenue recognition of these reward dollars is driven by actual customer activities, such as redemptions and expirations. At March 31, 2024, we had an additional $5.3 million of unearned contract revenue classified within Other long-term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additions to and deductions from the sales returns allowance, which is included in our Accrued liabilities balance in our consolidated balance sheets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10,222</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121,939</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(123,510)</w:t>
            </w: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returns at December 31, 2023</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the allowance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Deductions from the allowance</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(25,515)</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returns at March 31, 2024</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LOSS PER SHARE</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for the periods indicated (in thousands, except per share data):</w:t>
      </w:r>
    </w:p>
    <w:p>
      <w:pPr>
        <w:spacing w:after="0" w:line="69"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80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0" w:type="dxa"/>
            <w:vAlign w:val="bottom"/>
          </w:tcPr>
          <w:p>
            <w:pPr>
              <w:spacing w:after="0"/>
              <w:rPr>
                <w:sz w:val="1"/>
                <w:szCs w:val="1"/>
                <w:color w:val="auto"/>
              </w:rPr>
            </w:pPr>
          </w:p>
        </w:tc>
      </w:tr>
      <w:tr>
        <w:trPr>
          <w:trHeight w:val="237"/>
        </w:trPr>
        <w:tc>
          <w:tcPr>
            <w:tcW w:w="8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outstanding—basic</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outstanding—diluted</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shares were excluded from the calculation of diluted shares outstanding as their effect would have been anti-dilutive (in thousands):</w:t>
      </w:r>
    </w:p>
    <w:p>
      <w:pPr>
        <w:spacing w:after="0" w:line="127"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80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804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and PSUs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34"/>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56"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On March 31, 2024, we entered into an Asset Purchase Agreement with Indo Count Global, Inc. to sell certain intellectual property related to the Wamsutta brand which was acquired as part of our purchase of the Bed Bath &amp; Beyond brand in June 2023, for a total sales price of $10.3 million in cash plus the assumption of certain liabilities. On April 18, 2024, we closed the transaction and received the $10.3 million cash proceeds. We will recognize the entire $10.3 million as a gain in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provides information that we believe to be relevant to an understanding of our unaudited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uncertainties, and other important factors, including, but not limited to, those described in "Special Cautionary Note Regarding Forward Looking Statements" and in Part II, Item 1A, "Risk Factors" included in this Quarterly Report on Form 10-Q. You should read the following discussion together with our unaudited consolidated financial statements and related notes included in this Quarterly Report on Form 10-Q and with the sections entitled "Special Cautionary Note Regarding Forward-Looking Statements," Part I, Item 1A, "Risk Factors," and our consolidated financial statements and related notes included in our Annual Report on Form 10-K for the year ended December 31, 2023, filed with the SEC on February 23, 2024.</w:t>
      </w:r>
    </w:p>
    <w:p>
      <w:pPr>
        <w:spacing w:after="0" w:line="21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are an e-commerce retailer with a singular focus: connecting consumers with products and services that unlock their homes' potential. We own Bed Bath &amp; Beyond, Overstock, Zulily, and other related brands and associated intellectual property. Our suite of online shopping brands features millions of products for various life stages that millions of customers visit each month. As used herein, "Beyond," "the Company," "we," "our" and similar terms include Beyond, Inc. and our controlled subsidiaries, unless the context indicates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Beyond is dedicated to providing a wide assortment of products and services focused on, but not limited to, the home category.</w:t>
      </w:r>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Through our Bed Bath &amp; Beyond brand, we provide an extensive array of home-related products tailored especially for our target customers— consumers who seek comprehensive support throughout their shopping journey, aspiring to discover quality, stylish products at competitive prices that align with their budget requirements. We regularly refresh our product assortment to reflect the evolving preferences of our customers and aim to stay aligned with current trends. Our range of products includes furniture, bedding and bath essentials, patio and outdoor gear, area rugs, tabletop and cookware, décor, storage and organization solutions, small appliances, home improvement items, jewelry, and more. Leveraging an asset-light supply chain, we offer direct shipping to customers from both our suppliers and our leased warehouse.</w:t>
      </w:r>
    </w:p>
    <w:p>
      <w:pPr>
        <w:spacing w:after="0" w:line="21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Bed Bath &amp; Beyond strategic priorities include assortment curation to elevate product quality levels and improve ease of selection, as well as the creation of specialized experiences centered around our target customers' key life events such as getting married, having a baby, sending a child to college or hosting Thanksgiving for the first time.</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Through our Overstock brand, we aim to provide special economic value to our customers by providing access to discounted prices as compared to manufacturers' suggested retail price on our high-quality merchandise. We aim to provide a treasure hunting experience for our target customer who is highly engaged in finding great deals. We regularly refresh our top deals and our product range includes the home, apparel, and jewelry categories. Our growth initiatives for Overstock include adding additional categories such as beauty.</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Across both brands, we leverage our Beyond+ services platform where our customers can add services such as shipping insurance or gain access to home loans.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Commentary</w:t>
      </w:r>
    </w:p>
    <w:p>
      <w:pPr>
        <w:spacing w:after="0" w:line="22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executive commentary is intended to provide investors with a view of our business through the eyes of our management. As an executive commentary, it necessarily focuses on selected aspects of our business. This executive commentary is intended as a supplement to, but not a substitute for, the more detailed discussion of our business included elsewhere herein. Investors are cautioned to read our entire "Management's Discussion and Analysis of Financial Condition and Results of Operations," our interim and audited financial statements, and the discussion of our business and risk factors and other information included elsewhere or incorporated in this report. This executive commentary includes forward-looking statements, and investors are cautioned to read "Special Cautionary Note Regarding Forward-Looking Statements."</w:t>
      </w:r>
    </w:p>
    <w:p>
      <w:pPr>
        <w:spacing w:after="0" w:line="21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Revenue increased 0.3% for the three months ended March 31, 2024, compared to the same period in 2023. This increase was primarily due to a 27% increase in orders delivered. The increase was partially offset by a 21% decrease in average order value. The increase in orders delivered was driven by growth in active customers, partially offset by macroeconomic factors impacting consumer sentiment and a shift in consumer spending preferences. The decrease in average order value was largely driven by orders mixing into categories with lower average unit retail price.</w:t>
      </w:r>
    </w:p>
    <w:p>
      <w:pPr>
        <w:spacing w:after="0" w:line="20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profit decreased 26.9% for the three months ended March 31, 2024, compared to the same period in 2023, primarily due to a decrease in gross margin. Gross margin decreased to 19.5% for the three months ended March 31, 2024, compared to 26.7% for the same period in 2023, primarily due to increased promotional discounting and carrier costs.</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as a percentage of revenue increased from 12.3% for the three months ended March 31, 2023 to 17.8% for the three months ended March 31, 2024, primarily due to increased performance marketing expense and increased brand advertising.</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Technology expenses totaled $29.6 million for the three months ended March 31, 2024, a $1.0 million decrease compared to the three months ended March 31, 2023, primarily due to a reduction in staff-related expenses.</w:t>
      </w:r>
    </w:p>
    <w:p>
      <w:pPr>
        <w:spacing w:after="0" w:line="18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$29,000 for the three months ended March 31, 2024 compared to the three months ended March 31, 2023.</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Customer service and merchant fees increased $2.0 million for the three months ended March 31, 2024 compared to the three months ended March 31, 2023, primarily due to an increase in outsourced labor due to increased order volume and increased credit card costs driven by a shift in payment mix.</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consolidated cash and cash equivalents balance decreased from $302.6 million as of December 31, 2023, to $256.3 million as of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commentary related to macroeconomic trends</w:t>
      </w:r>
    </w:p>
    <w:p>
      <w:pPr>
        <w:spacing w:after="0" w:line="256"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We continue to monitor recent macroeconomic trends, including, but not limited to, geopolitical events, fluctuating interest rates, and inflation. These events have and may continue to negatively impact consumer confidence and consumer spending which have and may continue to adversely affect our business and our results of operations. Due to the uncertain and constantly evolving nature and volatility created by these disruptions to global economic activities, we cannot currently predict the long-term impact of these events on our operations and financial results. As of March 31, 2024, the challenges arising from these events have not adversely affected our liquidity or capacity to service our debt, nor have these conditions required us to reduce our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Comparisons of Three Months Ended March 31, 2024 to Three Months Ended March 31,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cost of goods sold, gross profit and gross margin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net revenue, cost of goods sold, and gross profit (in thousands):</w:t>
      </w:r>
    </w:p>
    <w:p>
      <w:pPr>
        <w:spacing w:after="0" w:line="133"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77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382,281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381,140</w:t>
            </w: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 (1)</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307,922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279,456</w:t>
            </w:r>
          </w:p>
        </w:tc>
      </w:tr>
      <w:tr>
        <w:trPr>
          <w:trHeight w:val="223"/>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profit (1)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74,359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101,684</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16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r>
      <w:tr>
        <w:trPr>
          <w:trHeight w:val="230"/>
        </w:trPr>
        <w:tc>
          <w:tcPr>
            <w:tcW w:w="7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 (1)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net revenue</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goods sold (1)</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costs and other cost of goods sold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margin</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sz w:val="20"/>
          <w:szCs w:val="20"/>
          <w:color w:val="auto"/>
        </w:rPr>
      </w:pPr>
    </w:p>
    <w:p>
      <w:pPr>
        <w:ind w:left="980" w:right="100" w:hanging="324"/>
        <w:spacing w:after="0" w:line="256" w:lineRule="auto"/>
        <w:tabs>
          <w:tab w:leader="none" w:pos="10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fiscal 2024, we changed our presentation for merchant fees associated with customer payments made by credit cards and other payment methods and customer service costs. Under the new presentation, we include such expenses in a separate line in operating expenses labeled, "Customer service and merchant fees," whereas previously, these expenses were included in "Merchant fees, customer service, and other" as a component of Cost of goods sold. See Note 2—Summary of Significant Accounting Policies, in the Notes to Unaudited Consolidated Financial Statements included in Item 1, Part I, Financial Statements (Unaudited) of this Quarterly Report on Form 10-Q.</w:t>
      </w:r>
    </w:p>
    <w:p>
      <w:pPr>
        <w:spacing w:after="0" w:line="21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0.3% increase in net revenue for the three months ended March 31, 2024, as compared to the same period in 2023, was primarily due to a 27% increase in orders delivered. The increase was partially offset by a 21% decrease in average order value. The increase in orders delivered was driven by growth in active customers, partially offset by macroeconomic factors impacting consumer sentiment and a shift in consumer spending preferences. The decrease in average order value was largely driven by orders mixing into categories with lower average unit retail price.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net revenues were less than 7% of total net revenues for each of the three months ended March 31, 2024 and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estimate of average transit times (days)</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revenue related to merchandise sales is recognized upon delivery to our customers. As we ship high volumes of packages through multiple carriers, it is not practical for us to track the actual delivery date of each shipment. Therefore,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inflation, rising interest rates, climate and weather events, or geopolitical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that hypothetical changes in the estimate of average shipping transit times would have had on the reported amount of revenue and income before income taxes (in thousands):</w:t>
      </w:r>
    </w:p>
    <w:p>
      <w:pPr>
        <w:spacing w:after="0" w:line="69"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53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the Estimate of Average Transit Times (Days)</w:t>
            </w:r>
          </w:p>
        </w:tc>
        <w:tc>
          <w:tcPr>
            <w:tcW w:w="4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2"/>
          </w:tcPr>
          <w:p>
            <w:pPr>
              <w:jc w:val="center"/>
              <w:ind w:right="5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Increase (Decrease)</w:t>
            </w:r>
          </w:p>
        </w:tc>
        <w:tc>
          <w:tcPr>
            <w:tcW w:w="240" w:type="dxa"/>
            <w:vAlign w:val="bottom"/>
            <w:tcBorders>
              <w:top w:val="single" w:sz="8" w:color="auto"/>
            </w:tcBorders>
          </w:tcPr>
          <w:p>
            <w:pPr>
              <w:spacing w:after="0"/>
              <w:rPr>
                <w:sz w:val="15"/>
                <w:szCs w:val="15"/>
                <w:color w:val="auto"/>
              </w:rPr>
            </w:pPr>
          </w:p>
        </w:tc>
        <w:tc>
          <w:tcPr>
            <w:tcW w:w="2660" w:type="dxa"/>
            <w:vAlign w:val="bottom"/>
            <w:tcBorders>
              <w:top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420" w:type="dxa"/>
            <w:vAlign w:val="bottom"/>
          </w:tcPr>
          <w:p>
            <w:pPr>
              <w:spacing w:after="0"/>
              <w:rPr>
                <w:sz w:val="21"/>
                <w:szCs w:val="21"/>
                <w:color w:val="auto"/>
              </w:rPr>
            </w:pPr>
          </w:p>
        </w:tc>
        <w:tc>
          <w:tcPr>
            <w:tcW w:w="26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40" w:type="dxa"/>
            <w:vAlign w:val="bottom"/>
          </w:tcPr>
          <w:p>
            <w:pPr>
              <w:spacing w:after="0"/>
              <w:rPr>
                <w:sz w:val="21"/>
                <w:szCs w:val="21"/>
                <w:color w:val="auto"/>
              </w:rPr>
            </w:pPr>
          </w:p>
        </w:tc>
        <w:tc>
          <w:tcPr>
            <w:tcW w:w="26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0" w:type="dxa"/>
            <w:vAlign w:val="bottom"/>
          </w:tcPr>
          <w:p>
            <w:pPr>
              <w:spacing w:after="0"/>
              <w:rPr>
                <w:sz w:val="1"/>
                <w:szCs w:val="1"/>
                <w:color w:val="auto"/>
              </w:rPr>
            </w:pPr>
          </w:p>
        </w:tc>
      </w:tr>
      <w:tr>
        <w:trPr>
          <w:trHeight w:val="223"/>
        </w:trPr>
        <w:tc>
          <w:tcPr>
            <w:tcW w:w="5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2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42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As reported</w:t>
            </w:r>
          </w:p>
        </w:tc>
        <w:tc>
          <w:tcPr>
            <w:tcW w:w="24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 reported</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54"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overall gross margins fluctuate based on factors such as competitive pricing; product costs; discounting; product mix of sales; advertising revenue and our marketing allowance program; and operational and fulfillment costs which include costs incurred to operate and staff our warehouses, including rent and depreciation expense associated with these facilities, costs to receive, inspect, pick, and prepare customer order for delivery, and direct and indirect labor costs including payroll, payroll-related benefits, and stock-based compensation, all of which we include as costs in calculating gross margin.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margins for the past five quarterly periods and fiscal year ending 2023 were:</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Q1 2023</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Q2 2023</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Q3 2023</w:t>
            </w: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Q4 2023</w:t>
            </w: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FY 2023</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Q1 2024</w:t>
            </w:r>
          </w:p>
        </w:tc>
      </w:tr>
      <w:tr>
        <w:trPr>
          <w:trHeight w:val="223"/>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19.2 %</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r>
    </w:tbl>
    <w:p>
      <w:pPr>
        <w:spacing w:after="0" w:line="31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March 31, 2024 decreased 26.9% compared to the same period in 2023, primarily due to a decrease in gross margin. Gross margin decreased to 19.5% for the three months ended March 31, 2024, compared to 26.7% for the same period in 2023, primarily due to increased promotional discounting and carrier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54"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spacing w:after="0" w:line="20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Costs associated with our discounted shipping and other promotions, such as coupons, are not included in sales and marketing expenses.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sales and marketing expenses (in thousands):</w:t>
      </w:r>
    </w:p>
    <w:p>
      <w:pPr>
        <w:spacing w:after="0" w:line="133"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77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67,906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47,048</w:t>
            </w: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64,960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44,806</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net revenue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4"/>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expense included in sales and marketing expenses</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274"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550 basis point increase in sales and marketing expenses as a percent of net revenue for the three months ended March 31, 2024, as compared to the same period in 2023, was primarily due to increased performance marketing expense and increased brand advertising.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expenses</w:t>
      </w:r>
    </w:p>
    <w:p>
      <w:pPr>
        <w:spacing w:after="0" w:line="227"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 seek to deploy our capital resources efficiently in technology to support operations, including private and public cloud, web services, customer support solutions, and product search. We aim to enhance the customer experience by investing in technology, including investing in machine learning algorithms and generative AI, improving our process automation and efficiency, modernizing and expanding our systems, and supporting and expanding our logistics infrastructure. We expect to continue to incur technology expenses to support these efforts and these expenditures may continue to be material.</w:t>
      </w:r>
    </w:p>
    <w:p>
      <w:pPr>
        <w:spacing w:after="0" w:line="19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frequency and variety of cyberattacks on our websites, enterprise systems, services, and on third parties we use to support our technology continues to increase. The impact of such attacks, their costs, and the costs we incur to protect ourselves against future attacks, have not been material to date. However, we consider the risk introduced by cyberattacks to be serious and will continue to incur costs related to efforts to protect ourselves against them.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technology expenses (in thousands):</w:t>
      </w:r>
    </w:p>
    <w:p>
      <w:pPr>
        <w:spacing w:after="0" w:line="133"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7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29,581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30,546</w:t>
            </w: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Technology expenses as a percent of net revenue</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bl>
    <w:p>
      <w:pPr>
        <w:spacing w:after="0" w:line="31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$1.0 million decrease in technology expenses for the three months ended March 31, 2024, as compared to the same period in 2023, was primarily due to a reduction in staff-related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p>
      <w:pPr>
        <w:spacing w:after="0" w:line="133"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77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236"/>
        </w:trPr>
        <w:tc>
          <w:tcPr>
            <w:tcW w:w="778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20,454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20,483</w:t>
            </w: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4"/>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 as a percent of net revenue</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30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totaled $20.5 million for the three months ended March 31, 2024, a $29,000 decrease compared to the same period in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service and merchant fees</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the first quarter of fiscal 2024, we changed our presentation for merchant fees associated with customer payments made by credit cards and other payment methods and customer service costs. Under the new presentation, we include such expenses in a separate line in operating expenses labeled, "Customer service and merchant fees," whereas previously, these expenses were included in Cost of goods sold. See Note 2—Summary of Significant Accounting Policies, in the Notes to Unaudited Consolidated Financial Statements included in Item 1, Part I, Financial Statements (Unaudited) of this Quarterly Report on Form 10-Q.</w:t>
      </w:r>
    </w:p>
    <w:p>
      <w:pPr>
        <w:spacing w:after="0" w:line="210"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Customer service and merchant fees include customer service costs and merchant processing fees associated with customer payments made by credit cards and other payment methods and other variable fees. Customer service and merchant fees as a percent of net revenue may vary due to several factors, such as our ability to effectively manage customer service costs and merchant fees.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customer service and merchant fees (in thousands):</w:t>
      </w:r>
    </w:p>
    <w:p>
      <w:pPr>
        <w:spacing w:after="0" w:line="46"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78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11,971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Year-over-year percentage change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service and merchant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service and merchant fees as a percent of net revenue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3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 million increase in customer service and merchant fees for the three months ended March 31, 2024, as compared to the same period in 2023, was primarily due to an increase in outsourced labor due to increased order volume and increased credit card costs driven by a shift in payment mix.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5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Other expense, net for the three months ended March 31, 2024 was $18.8 million as compared to $7.4 million for the three months ended March 31, 2023. The increase was primarily due to a $11.3 million increase in loss recognized from our equity method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provision (benefit) for income tax for the three months ended March 31, 2024 and 2023 was $329,000 and $(2.9) million, respectively. The effective tax rate for the three months ended March 31, 2024 and 2023 was (0.4)% and 21.9%, respectively. Our tax provision and rate changed during the three months ended March 31, 2024 as compared to the same period in 2023, and differs from the statutory federal income tax rate of 21% primarily due to year-to-date losses on our retail operations for which tax benefits are limited.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quarter we assess on a jurisdictional basis whether it is more likely than not that our deferred tax assets will be realized under ASC Topic</w:t>
      </w:r>
    </w:p>
    <w:p>
      <w:pPr>
        <w:spacing w:after="0" w:line="27" w:lineRule="exact"/>
        <w:rPr>
          <w:sz w:val="20"/>
          <w:szCs w:val="20"/>
          <w:color w:val="auto"/>
        </w:rPr>
      </w:pPr>
    </w:p>
    <w:p>
      <w:pPr>
        <w:ind w:firstLine="8"/>
        <w:spacing w:after="0" w:line="251"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March 31, 2024, is the cumulative loss position over a three-year period generated by our U.S. retail operations. On the basis of this evaluation, we maintain a valuation allowance against our deferred tax assets for the U.S. jurisdiction, not supported by reversals of taxable temporary differences. We intend to continue maintaining a valuation allowance on our net U.S. deferred tax assets until there is sufficient evidence to support the reversal of all or some portion of these allowances. The amount of the deferred tax asset considered realizable could be adjusted if objective negative evidence in the form of cumulative losses is no longer present and additional weight is given to subjective evidence such as our projections for growth. We will continue to monitor the need for a valuation allowance against our deferred tax assets on a quarterly basis.</w:t>
      </w:r>
    </w:p>
    <w:p>
      <w:pPr>
        <w:spacing w:after="0" w:line="220"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OECD has issued Pillar Two model rules introducing a new global minimum tax of 15% intended to be effective on January 1, 2024. While the U.S. has not yet adopted the Pillar Two rules, various other governments around the world have enacted such legislation. As currently designed, we expect Pillar Two will ultimately apply to us. Considering we do not currently have material operations in jurisdictions with tax rates lower than the Pillar Two minimum, we do not expect these to materially increase our global tax costs based on how we currently do business. There remains uncertainty as to the final Pillar Two model rules and their application. We will continue to monitor U.S. and global legislative action related to Pillar Two for potential impacts.</w:t>
      </w:r>
    </w:p>
    <w:p>
      <w:pPr>
        <w:spacing w:after="0" w:line="214"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As we repatriate foreign earnings for use in the United States, the distributions are generally exempt from federal and foreign income taxes but may be subject to certain state taxes. As of March 31, 2024, the cumulative amount of foreign earnings considered permanently reinvested upon which taxes have not been provided, and the corresponding unrecognized deferred tax liability, was not material.</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multiple state and foreign jurisdictions. Tax years beginning in 2019 are subject to examination by taxing authorities, although net operating loss and credit carryforwards from all years are subject to examinations and adjustments for at least three years following the year in which the attributes are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5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currently on hand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and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periodically evaluate opportunities to repurchase our equity securities, obtain credit facilities, or issue additional debt or equity securities, which may impact our future operations and liquidity. In addition, we may, from time to time, consider the investment in, or acquisition of, complementary businesses, products, services, or technologies to expand our business, any of which might affect our liquidity requirements or cause us to issue additional debt or equity securities that would be dilutive to shareholders.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sources of liquidity</w:t>
      </w:r>
    </w:p>
    <w:p>
      <w:pPr>
        <w:spacing w:after="0" w:line="22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and accounts receivable, net. At March 31, 2024, we had $256.3 million of cash and cash equivalents and $23.1 million of accounts receivable, net.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flow information is as follows (in thousands):</w:t>
      </w:r>
    </w:p>
    <w:p>
      <w:pPr>
        <w:spacing w:after="0" w:line="133"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0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r>
      <w:tr>
        <w:trPr>
          <w:trHeight w:val="234"/>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w:t>
      </w:r>
    </w:p>
    <w:p>
      <w:pPr>
        <w:spacing w:after="0" w:line="20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$34.6 million of net cash used in operating activities during the three months ended March 31, 2024 was primarily due to loss from operating activities adjusted for non-cash items of $46.0 million offset by cash provided by changes in operating assets and liabilities of $11.4 million.</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$20.0 million of net cash provided by operating activities during the three months ended March 31, 2023 was primarily due to income from operating activities adjusted for non-cash items of $6.4 million and cash provided by changes in operating assets and liabilities of $13.6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investing activities resulted in a net cash outflow of $9.1 million, primarily due to $5.7 million for purchases of intangible assets and $3.4 million of expenditures for property and equipment.</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investing activities resulted in a net cash outflow of $14.8 million, primarily due to $10.0 million for disbursement of notes receivable and $5.3 million of expenditures for property and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5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financing activities resulted in a net cash outflow of $2.5 million, primarily due to $3.2 million for payment of taxes withheld upon vesting of employee stock awards.</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financing activities resulted in a net cash outflow of $1.7 million, primarily due to $1.9 million for payment of taxes withheld upon vesting of employee stock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2024 and the effect such obligations and commitments are expected to have on our liquidity and cash flow in future periods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80" w:type="dxa"/>
            <w:vAlign w:val="bottom"/>
          </w:tcPr>
          <w:p>
            <w:pPr>
              <w:spacing w:after="0"/>
              <w:rPr>
                <w:sz w:val="17"/>
                <w:szCs w:val="17"/>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7"/>
                <w:szCs w:val="17"/>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243"/>
        </w:trPr>
        <w:tc>
          <w:tcPr>
            <w:tcW w:w="42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80" w:type="dxa"/>
            <w:vAlign w:val="bottom"/>
          </w:tcPr>
          <w:p>
            <w:pPr>
              <w:spacing w:after="0"/>
              <w:rPr>
                <w:sz w:val="21"/>
                <w:szCs w:val="21"/>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1"/>
                <w:szCs w:val="21"/>
                <w:color w:val="auto"/>
              </w:rPr>
            </w:pP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 agreements (2)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17" w:lineRule="exact"/>
        <w:rPr>
          <w:sz w:val="20"/>
          <w:szCs w:val="20"/>
          <w:color w:val="auto"/>
        </w:rPr>
      </w:pPr>
    </w:p>
    <w:p>
      <w:pPr>
        <w:ind w:left="980" w:right="20" w:hanging="324"/>
        <w:spacing w:after="0" w:line="257" w:lineRule="auto"/>
        <w:tabs>
          <w:tab w:leader="none" w:pos="10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future minimum lease payments under non-cancellable operating leases. For information regarding our operating lease obligations, see Note 9—Leases, in the Notes to Unaudited Consolidated Financial Statements included in Item 1, Part I, Financial Statements (Unaudited) of this Quarterly Report on Form 10-Q.</w:t>
      </w:r>
    </w:p>
    <w:p>
      <w:pPr>
        <w:spacing w:after="0" w:line="1" w:lineRule="exact"/>
        <w:rPr>
          <w:rFonts w:ascii="Times New Roman" w:cs="Times New Roman" w:eastAsia="Times New Roman" w:hAnsi="Times New Roman"/>
          <w:sz w:val="18"/>
          <w:szCs w:val="18"/>
          <w:color w:val="auto"/>
        </w:rPr>
      </w:pPr>
    </w:p>
    <w:p>
      <w:pPr>
        <w:ind w:left="980" w:right="540" w:hanging="324"/>
        <w:spacing w:after="0" w:line="255" w:lineRule="auto"/>
        <w:tabs>
          <w:tab w:leader="none" w:pos="10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future interest and principal payments on the financing agreements with Loan Core Capital Funding Corporation LLC. For information regarding our financing agreements, see Note 8—Borrowings, in the Notes to Unaudited Consolidated Financial Statements included in Item 1, Part I, Financial Statements (Unaudited) of this Quarterly Report on Form 10-Q.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contingencies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involved in various tax matters, the outcomes of which are uncertain. As of March 31, 2024, accrued tax contingencies were $3.7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our financial statements requires that we make estimates and judgments. We base these on historical experience and on other assumptions that we believe to be reasonable. Except as disclosed in Note 2—Summary of Significant Accounting Policies, in the Notes to Unaudited Consolidated Financial Statements included in Item 1, Part I, Financial Statements (Unaudited) of this Quarterly Report on Form 10-Q, there have been no material changes to our critical accounting policies and estimates as compared to the critical accounting policies and estimates described in Critical Accounting Policies and Estimates, included in Part II, Item 7, Management's Discussion and Analysis of Financial Condition and Results of Operations and in Note 2—Accounting Policies and Supplemental Disclosures, included in Part II, Item 8, Financial Statements and Supplementary Data, of our Annual Report on Form 10-K for the year ended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are subject to a wide variety of laws, rules, mandates, and regulations, some of which apply or may apply to us as a result of our retail business, and others of which apply to us for other reasons, such as our status as a publicly held company or the places in which we sell certain types or amounts of products. Our retail business is subject to general business regulations and laws, regulations and laws specifically governing the internet, e-commerce, and other services we offer. Existing and future laws and regulations may result in increasing expense and may impede our growth. Applicable and potentially applicable regulations and laws include regulations and laws regarding taxation, privacy, data protection, pricing, content, copyrights, distribution, mobile communications, electronic device certification, electronic waste, energy consumption, environmental regulation, electronic contracts and other communications, competition, consumer protection, employment, import and export matters, information reporting requirements, access to our services and facilities, the design and operation of websites, health, safety, and sanitation standards, the characteristics and quality of products and services, product labeling and unfair and deceptive trade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efforts to expand our retail business outside of the U.S. expose us to foreign and additional U.S. laws and regulations, including but not limited to, laws and regulations relating to taxation, business licensing or certification requirements, advertising practices, online services, the importation of specified or proscribed items, importation quotas, consumer protection, environmental protection, intellectual property rights, consumer and data protection, privacy, encryption, restrictions on pricing or discounts, and the U.S. Foreign Corrupt Practices Act and other applicable U.S. and foreign laws prohibiting corrupt payments to government officials and other third parties.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4"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exposed to market risk from interest rate changes, foreign currency fluctuations, and changes in the market values of our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quantitative and qualitative disclosures about these market risks is set forth below.</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56"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spacing w:after="0" w:line="16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Senior Note carries a fixed annual interest rate of 4.242%. As a result, we have no material direct financial statement risk associated with changes in interest rates.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Most of our sales and operating expenses are denominated in U.S. dollars, and therefore, our net revenue and operating expenses are not currently subject to significant foreign currency risk. As we grow our operations, our exposure to foreign currency risk could become more significant.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fair values of our equity and debt securities may be subject to fluctuations due to volatility of the stock market in general, investment-specific circumstances, and changes in general economic conditions. At March 31, 2024, our recorded value in equity securities of private companies was $137.4 million. At March 31, 2024, $32.3 million of our equity securities and $10.6 million of our debt securities are of private companies, recorded at fair value using Level 3 inputs. Our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providing a sensitivity analysis is not practicable. These investments valued using Level 3 inputs represent 17.7% of assets measured at fair value. See Note 3—Fair Value Measurement for further information. For our equity interest in Medici Ventures, L.P., we record our proportionate share of the entity's reported net income or loss, which reflects the fair value changes of the underlying investments of the entity and any other income or losses of the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carried out an evaluation of the effectiveness of our disclosure controls and procedures as required by Rule 13a-15(e) and 15d-15(e) of the Securities Exchange Act of 1934, as amended (the "Exchange Act") under the supervision and with the participation of our principal executive officers and principal financial officer, as of the end of the period covered by this report. Based on this evaluation, our principal executive officers and principal financial officer concluded that our disclosure controls and procedures were effective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Disclosure Controls and Procedures</w:t>
      </w:r>
    </w:p>
    <w:p>
      <w:pPr>
        <w:spacing w:after="0" w:line="22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4"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 We also prosecute lawsuits to enforce our legal rights. In connection with such litigation or other legal proceedings, we have been in the past and we may be in the future subject to significant damages, associated costs, or equitable remedies relating to the operation of our business.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I of Part I, Financial Statements (Unaudited)—Note 10—Commitments and Contingencies, subheading Legal Proceedings and Contingencies, contained in the Notes to Unaudited Consolidated Financial Statements of this Quarterly Report on Form 10-Q, which is incorporated by reference in answer to this Item.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previously disclosed in Part I, Item 1A, "Risk Factors," of our Annual Report on Form 10-K for the year ended December 31, 2023 filed with the SEC on February 23,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Purchases of Equity Securities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See Note 12—Stockholders' Equity, in the Notes to Unaudited Consolidated Financial Statements included in Item 1, Part I, Financial Statements (Unaudited) of this Quarterly Report on Form 10-Q for information regarding our authorized share repurchase program. There were no repurchases made during the three months ended March 31, 2024. As of March 31, 2024, the approximate dollar value of shares that may yet be purchased under the stock repurchase program is $69.9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ind w:left="660" w:right="6180" w:hanging="652"/>
        <w:spacing w:after="0" w:line="532" w:lineRule="auto"/>
        <w:tabs>
          <w:tab w:leader="none" w:pos="267"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Disclosure in lieu of reporting on a Current Report on Form 8-K. </w:t>
      </w:r>
      <w:r>
        <w:rPr>
          <w:rFonts w:ascii="Times New Roman" w:cs="Times New Roman" w:eastAsia="Times New Roman" w:hAnsi="Times New Roman"/>
          <w:sz w:val="18"/>
          <w:szCs w:val="18"/>
          <w:color w:val="auto"/>
        </w:rPr>
        <w:t>None.</w:t>
      </w:r>
    </w:p>
    <w:p>
      <w:pPr>
        <w:ind w:left="660" w:right="2720" w:hanging="652"/>
        <w:spacing w:after="0" w:line="532" w:lineRule="auto"/>
        <w:tabs>
          <w:tab w:leader="none" w:pos="267"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Material changes to the procedures by which security holders may recommend nominees to the board of directors </w:t>
      </w:r>
      <w:r>
        <w:rPr>
          <w:rFonts w:ascii="Times New Roman" w:cs="Times New Roman" w:eastAsia="Times New Roman" w:hAnsi="Times New Roman"/>
          <w:sz w:val="18"/>
          <w:szCs w:val="18"/>
          <w:color w:val="auto"/>
        </w:rPr>
        <w:t>None.</w:t>
      </w:r>
    </w:p>
    <w:p>
      <w:pPr>
        <w:ind w:left="260" w:hanging="252"/>
        <w:spacing w:after="0"/>
        <w:tabs>
          <w:tab w:leader="none" w:pos="2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Insider trading arrangements and policies.</w:t>
      </w:r>
    </w:p>
    <w:p>
      <w:pPr>
        <w:spacing w:after="0" w:line="254"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On February 23, 2024, Joanna C. Burkey, a director of the Company, adopted a "Rule 10b5-1 trading arrangement" as defined in Item 408(a) of Regulation S-K intended to satisfy Rule 10b5-1(c) to sell up to 610 shares of our common stock between May 22, 2024 and May 23, 2024, subject to the terms and conditions of such arrangement.</w:t>
      </w:r>
    </w:p>
    <w:p>
      <w:pPr>
        <w:spacing w:after="0" w:line="20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Other than as disclosed above, during the three months ended March 31, 2024, no director or officer of the Company adopted or terminated a "Rule 10b5-1 trading arrangement" or "non-Rule 10b5-1 trading arrangement," as each term is defined in Item 408(a) of Regulation S-K.</w:t>
      </w:r>
    </w:p>
    <w:p>
      <w:pPr>
        <w:sectPr>
          <w:pgSz w:w="11900" w:h="16838" w:orient="portrait"/>
          <w:cols w:equalWidth="0" w:num="1">
            <w:col w:w="11160"/>
          </w:cols>
          <w:pgMar w:left="320" w:top="36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25" w:lineRule="exact"/>
        <w:rPr>
          <w:sz w:val="20"/>
          <w:szCs w:val="20"/>
          <w:color w:val="auto"/>
        </w:rPr>
      </w:pPr>
    </w:p>
    <w:tbl>
      <w:tblPr>
        <w:tblLayout w:type="fixed"/>
        <w:tblInd w:w="360" w:type="dxa"/>
        <w:tblCellMar>
          <w:top w:w="0" w:type="dxa"/>
          <w:left w:w="0" w:type="dxa"/>
          <w:bottom w:w="0" w:type="dxa"/>
          <w:right w:w="0" w:type="dxa"/>
        </w:tblCellMar>
      </w:tblPr>
      <w:tr>
        <w:trPr>
          <w:trHeight w:val="190"/>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16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540" w:type="dxa"/>
            <w:vAlign w:val="bottom"/>
            <w:gridSpan w:val="19"/>
          </w:tcPr>
          <w:p>
            <w:pPr>
              <w:ind w:left="6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3"/>
        </w:trPr>
        <w:tc>
          <w:tcPr>
            <w:tcW w:w="520" w:type="dxa"/>
            <w:vAlign w:val="bottom"/>
          </w:tcPr>
          <w:p>
            <w:pPr>
              <w:spacing w:after="0"/>
              <w:rPr>
                <w:sz w:val="2"/>
                <w:szCs w:val="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660" w:type="dxa"/>
            <w:vAlign w:val="bottom"/>
            <w:gridSpan w:val="21"/>
          </w:tcPr>
          <w:p>
            <w:pPr>
              <w:spacing w:after="0" w:line="18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Asset Purchase Agreement, dated June 12, 2023, by and among Overstock.com, Inc., Bed Bath &amp; Beyond Inc. and</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certain subsidiaries of Bed Bath &amp; Beyond Inc., incorporated by reference to Exhibit 2.1 to the Company's Current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80" w:type="dxa"/>
            <w:vAlign w:val="bottom"/>
            <w:gridSpan w:val="17"/>
          </w:tcPr>
          <w:p>
            <w:pPr>
              <w:spacing w:after="0" w:line="16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Report on Form 8-K filed on June 13,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0" w:type="dxa"/>
            <w:vAlign w:val="bottom"/>
          </w:tcPr>
          <w:p>
            <w:pPr>
              <w:spacing w:after="0"/>
              <w:rPr>
                <w:sz w:val="18"/>
                <w:szCs w:val="18"/>
                <w:color w:val="auto"/>
              </w:rPr>
            </w:pPr>
          </w:p>
        </w:tc>
        <w:tc>
          <w:tcPr>
            <w:tcW w:w="8660" w:type="dxa"/>
            <w:vAlign w:val="bottom"/>
            <w:gridSpan w:val="21"/>
          </w:tcPr>
          <w:p>
            <w:pPr>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Amended and Restated Certificate of Incorporation, incorporated by reference to Exhibit 3.1 to the Company's</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Quarterly Report on Form 10-Q filed on July 29, 2014</w:t>
              </w:r>
            </w:hyperlink>
          </w:p>
        </w:tc>
        <w:tc>
          <w:tcPr>
            <w:tcW w:w="3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0" w:type="dxa"/>
            <w:vAlign w:val="bottom"/>
          </w:tcPr>
          <w:p>
            <w:pPr>
              <w:spacing w:after="0"/>
              <w:rPr>
                <w:sz w:val="19"/>
                <w:szCs w:val="19"/>
                <w:color w:val="auto"/>
              </w:rPr>
            </w:pPr>
          </w:p>
        </w:tc>
        <w:tc>
          <w:tcPr>
            <w:tcW w:w="8660" w:type="dxa"/>
            <w:vAlign w:val="bottom"/>
            <w:gridSpan w:val="21"/>
          </w:tcPr>
          <w:p>
            <w:pPr>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Certificate of Amendment to Amended and Restated Certificate of Incorporation, incorporated by reference to Exhibit</w:t>
              </w:r>
            </w:hyperlink>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the Company's Current Report on Form 8-K filed on November 6, 2023</w:t>
              </w:r>
            </w:hyperlink>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20" w:type="dxa"/>
            <w:vAlign w:val="bottom"/>
          </w:tcPr>
          <w:p>
            <w:pPr>
              <w:spacing w:after="0"/>
              <w:rPr>
                <w:sz w:val="19"/>
                <w:szCs w:val="19"/>
                <w:color w:val="auto"/>
              </w:rPr>
            </w:pPr>
          </w:p>
        </w:tc>
        <w:tc>
          <w:tcPr>
            <w:tcW w:w="8660" w:type="dxa"/>
            <w:vAlign w:val="bottom"/>
            <w:gridSpan w:val="21"/>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Third Amended and Restated Bylaws, incorporated by reference to Exhibit 3.3 to the Company's Current Report on</w:t>
              </w:r>
            </w:hyperlink>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Form 8-K filed on November 6, 2023</w:t>
              </w:r>
            </w:hyperlink>
          </w:p>
        </w:tc>
        <w:tc>
          <w:tcPr>
            <w:tcW w:w="3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0" w:type="dxa"/>
            <w:vAlign w:val="bottom"/>
          </w:tcPr>
          <w:p>
            <w:pPr>
              <w:spacing w:after="0"/>
              <w:rPr>
                <w:sz w:val="19"/>
                <w:szCs w:val="19"/>
                <w:color w:val="auto"/>
              </w:rPr>
            </w:pPr>
          </w:p>
        </w:tc>
        <w:tc>
          <w:tcPr>
            <w:tcW w:w="75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Employment Letter Agreement between Beyond, Inc. and David Nielsen, dated as of February 18, 2024*</w:t>
            </w:r>
          </w:p>
        </w:tc>
        <w:tc>
          <w:tcPr>
            <w:tcW w:w="10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20" w:type="dxa"/>
            <w:vAlign w:val="bottom"/>
          </w:tcPr>
          <w:p>
            <w:pPr>
              <w:spacing w:after="0"/>
              <w:rPr>
                <w:sz w:val="18"/>
                <w:szCs w:val="18"/>
                <w:color w:val="auto"/>
              </w:rPr>
            </w:pPr>
          </w:p>
        </w:tc>
        <w:tc>
          <w:tcPr>
            <w:tcW w:w="7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Employment Letter Agreement between Beyond, Inc. and Chandra Holt, dated as of February 14, 2024*</w:t>
            </w:r>
          </w:p>
        </w:tc>
        <w:tc>
          <w:tcPr>
            <w:tcW w:w="11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Employment Letter Agreement between Beyond, Inc. and Adrianne Lee, dated as of February 18, 2024*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Form of Performance Share Award Grant Notice and Performance Share Award Agreement under the Beyond, Inc.</w:t>
            </w:r>
          </w:p>
        </w:tc>
        <w:tc>
          <w:tcPr>
            <w:tcW w:w="0" w:type="dxa"/>
            <w:vAlign w:val="bottom"/>
          </w:tcPr>
          <w:p>
            <w:pPr>
              <w:spacing w:after="0"/>
              <w:rPr>
                <w:sz w:val="1"/>
                <w:szCs w:val="1"/>
                <w:color w:val="auto"/>
              </w:rPr>
            </w:pPr>
          </w:p>
        </w:tc>
      </w:tr>
      <w:tr>
        <w:trPr>
          <w:trHeight w:val="155"/>
        </w:trPr>
        <w:tc>
          <w:tcPr>
            <w:tcW w:w="5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Amended and Restated 2005 Equity Incentive Plan *</w:t>
            </w:r>
          </w:p>
        </w:tc>
        <w:tc>
          <w:tcPr>
            <w:tcW w:w="4480" w:type="dxa"/>
            <w:vAlign w:val="bottom"/>
            <w:tcBorders>
              <w:top w:val="single" w:sz="8" w:color="0000FF"/>
            </w:tcBorders>
            <w:gridSpan w:val="15"/>
          </w:tcPr>
          <w:p>
            <w:pPr>
              <w:spacing w:after="0"/>
              <w:rPr>
                <w:sz w:val="13"/>
                <w:szCs w:val="13"/>
                <w:color w:val="auto"/>
              </w:rPr>
            </w:pPr>
          </w:p>
        </w:tc>
        <w:tc>
          <w:tcPr>
            <w:tcW w:w="3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18.1*</w:t>
            </w:r>
          </w:p>
        </w:tc>
        <w:tc>
          <w:tcPr>
            <w:tcW w:w="20" w:type="dxa"/>
            <w:vAlign w:val="bottom"/>
          </w:tcPr>
          <w:p>
            <w:pPr>
              <w:spacing w:after="0"/>
              <w:rPr>
                <w:sz w:val="19"/>
                <w:szCs w:val="19"/>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Preferability Letter of KPMG LLP, Independent Registered Public Accounting Firm</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20" w:type="dxa"/>
            <w:vAlign w:val="bottom"/>
          </w:tcPr>
          <w:p>
            <w:pPr>
              <w:spacing w:after="0"/>
              <w:rPr>
                <w:sz w:val="18"/>
                <w:szCs w:val="18"/>
                <w:color w:val="auto"/>
              </w:rPr>
            </w:pPr>
          </w:p>
        </w:tc>
        <w:tc>
          <w:tcPr>
            <w:tcW w:w="53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Co-Principal Executive Officer</w:t>
            </w:r>
          </w:p>
        </w:tc>
        <w:tc>
          <w:tcPr>
            <w:tcW w:w="760" w:type="dxa"/>
            <w:vAlign w:val="bottom"/>
            <w:tcBorders>
              <w:top w:val="single" w:sz="8" w:color="0000FF"/>
            </w:tcBorders>
            <w:gridSpan w:val="2"/>
          </w:tcPr>
          <w:p>
            <w:pPr>
              <w:spacing w:after="0"/>
              <w:rPr>
                <w:sz w:val="18"/>
                <w:szCs w:val="18"/>
                <w:color w:val="auto"/>
              </w:rPr>
            </w:pPr>
          </w:p>
        </w:tc>
        <w:tc>
          <w:tcPr>
            <w:tcW w:w="260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Rule 13a-14(a)/15d-14(a) Certification of Co-Principal Executive Officer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31.3*</w:t>
            </w:r>
          </w:p>
        </w:tc>
        <w:tc>
          <w:tcPr>
            <w:tcW w:w="20" w:type="dxa"/>
            <w:vAlign w:val="bottom"/>
          </w:tcPr>
          <w:p>
            <w:pPr>
              <w:spacing w:after="0"/>
              <w:rPr>
                <w:sz w:val="18"/>
                <w:szCs w:val="18"/>
                <w:color w:val="auto"/>
              </w:rPr>
            </w:pPr>
          </w:p>
        </w:tc>
        <w:tc>
          <w:tcPr>
            <w:tcW w:w="52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c>
          <w:tcPr>
            <w:tcW w:w="3380" w:type="dxa"/>
            <w:vAlign w:val="bottom"/>
            <w:gridSpan w:val="1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c>
          <w:tcPr>
            <w:tcW w:w="44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Co-Principal Executive Officer</w:t>
            </w:r>
          </w:p>
        </w:tc>
        <w:tc>
          <w:tcPr>
            <w:tcW w:w="560" w:type="dxa"/>
            <w:vAlign w:val="bottom"/>
            <w:tcBorders>
              <w:top w:val="single" w:sz="8" w:color="0000FF"/>
            </w:tcBorders>
          </w:tcPr>
          <w:p>
            <w:pPr>
              <w:spacing w:after="0"/>
              <w:rPr>
                <w:sz w:val="18"/>
                <w:szCs w:val="18"/>
                <w:color w:val="auto"/>
              </w:rPr>
            </w:pPr>
          </w:p>
        </w:tc>
        <w:tc>
          <w:tcPr>
            <w:tcW w:w="37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Section 1350 Certification of Co-Principal Executive Officer</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8"/>
                <w:szCs w:val="18"/>
                <w:color w:val="auto"/>
              </w:rPr>
            </w:pPr>
          </w:p>
        </w:tc>
        <w:tc>
          <w:tcPr>
            <w:tcW w:w="4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Section 1350 Certification of Principal Financial Officer</w:t>
            </w:r>
          </w:p>
        </w:tc>
        <w:tc>
          <w:tcPr>
            <w:tcW w:w="428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46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0" w:type="dxa"/>
            <w:vAlign w:val="bottom"/>
          </w:tcPr>
          <w:p>
            <w:pPr>
              <w:spacing w:after="0"/>
              <w:rPr>
                <w:sz w:val="21"/>
                <w:szCs w:val="21"/>
                <w:color w:val="auto"/>
              </w:rPr>
            </w:pPr>
          </w:p>
        </w:tc>
        <w:tc>
          <w:tcPr>
            <w:tcW w:w="16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Attached as Exhibit 101 to this report are the following documents formatted in Inline XBRL (Extensible Business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Reporting Language): (i) Consolidated Balance Sheets, (ii) Consolidated Statements of Operations, (iii) Consolidated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Statements of Comprehensive Loss, (iv) Consolidated Statements of Cash Flows, (v) Consolidated Statements of</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6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Stockholders' Equity, and (vi) Notes to Consolidated Financial Statements.</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560" w:right="160" w:hanging="979"/>
        <w:spacing w:after="0" w:line="282" w:lineRule="auto"/>
        <w:tabs>
          <w:tab w:leader="none" w:pos="2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March 31, 2024, formatted in Inline XBRL (included as Exhibit 101).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880" w:hanging="224"/>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ind w:left="660" w:right="2240" w:hanging="4"/>
        <w:spacing w:after="0" w:line="290" w:lineRule="auto"/>
        <w:tabs>
          <w:tab w:leader="none" w:pos="9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have been omitted pursuant to Item 601(a)(5) of Regulation S-K. The Reporting Company agrees to furnish supplementally a copy of any omitted schedule or exhibit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3" w:lineRule="exact"/>
        <w:rPr>
          <w:sz w:val="20"/>
          <w:szCs w:val="20"/>
          <w:color w:val="auto"/>
        </w:rPr>
      </w:pPr>
    </w:p>
    <w:p>
      <w:pPr>
        <w:ind w:left="20"/>
        <w:spacing w:after="0"/>
        <w:tabs>
          <w:tab w:leader="none" w:pos="700" w:val="left"/>
          <w:tab w:leader="none" w:pos="55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8, 2024</w:t>
      </w:r>
      <w:r>
        <w:rPr>
          <w:sz w:val="20"/>
          <w:szCs w:val="20"/>
          <w:color w:val="auto"/>
        </w:rPr>
        <w:tab/>
      </w:r>
      <w:r>
        <w:rPr>
          <w:rFonts w:ascii="Times New Roman" w:cs="Times New Roman" w:eastAsia="Times New Roman" w:hAnsi="Times New Roman"/>
          <w:sz w:val="18"/>
          <w:szCs w:val="18"/>
          <w:b w:val="1"/>
          <w:bCs w:val="1"/>
          <w:color w:val="auto"/>
        </w:rPr>
        <w:t>BEYOND, INC.</w:t>
      </w:r>
    </w:p>
    <w:p>
      <w:pPr>
        <w:spacing w:after="0" w:line="25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ADRIANNE B.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17145</wp:posOffset>
            </wp:positionV>
            <wp:extent cx="35750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575050"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Adrianne B. Lee</w:t>
      </w:r>
    </w:p>
    <w:p>
      <w:pPr>
        <w:spacing w:after="0" w:line="1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&amp; Administrative Officer</w:t>
      </w:r>
    </w:p>
    <w:p>
      <w:pPr>
        <w:ind w:left="56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20"/>
          </w:cols>
          <w:pgMar w:left="320" w:top="364" w:right="6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Dave,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pleased to offer you the position of Division Chief Executive Officer, Overstock with Beyond, Inc. (“Beyond” or the “Company”) on the terms described in this letter agreement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your compensation, benefits, and the terms and conditions of our employment offer: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Start date: </w:t>
      </w:r>
      <w:r>
        <w:rPr>
          <w:rFonts w:ascii="Times New Roman" w:cs="Times New Roman" w:eastAsia="Times New Roman" w:hAnsi="Times New Roman"/>
          <w:sz w:val="18"/>
          <w:szCs w:val="18"/>
          <w:color w:val="auto"/>
        </w:rPr>
        <w:t>On or about February 19,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Employment status: </w:t>
      </w:r>
      <w:r>
        <w:rPr>
          <w:rFonts w:ascii="Times New Roman" w:cs="Times New Roman" w:eastAsia="Times New Roman" w:hAnsi="Times New Roman"/>
          <w:sz w:val="18"/>
          <w:szCs w:val="18"/>
          <w:color w:val="auto"/>
        </w:rPr>
        <w:t>Full-time, Exempt.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color w:val="auto"/>
        </w:rPr>
        <w:t>$34,615.38 per pay period ($900,000 annually), to be paid in accordance with the Company’s regular payroll practices.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the full annual amount of $900,000 you must be employed for all 26 pay periods.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Report to: </w:t>
      </w:r>
      <w:r>
        <w:rPr>
          <w:rFonts w:ascii="Times New Roman" w:cs="Times New Roman" w:eastAsia="Times New Roman" w:hAnsi="Times New Roman"/>
          <w:sz w:val="18"/>
          <w:szCs w:val="18"/>
          <w:color w:val="auto"/>
        </w:rPr>
        <w:t>Marcus Lemonis, or if Marcus Lemonis no longer serves on the Board of Directors of the Company (the “Board”),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Work location: </w:t>
      </w:r>
      <w:r>
        <w:rPr>
          <w:rFonts w:ascii="Times New Roman" w:cs="Times New Roman" w:eastAsia="Times New Roman" w:hAnsi="Times New Roman"/>
          <w:sz w:val="18"/>
          <w:szCs w:val="18"/>
          <w:color w:val="auto"/>
        </w:rPr>
        <w:t>Midvale, UT, subject to such travel as reasonably required in connection with your duties.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Paid Time Off: </w:t>
      </w:r>
      <w:r>
        <w:rPr>
          <w:rFonts w:ascii="Times New Roman" w:cs="Times New Roman" w:eastAsia="Times New Roman" w:hAnsi="Times New Roman"/>
          <w:sz w:val="18"/>
          <w:szCs w:val="18"/>
          <w:color w:val="auto"/>
        </w:rPr>
        <w:t>You will participate in the Company’s flexible time away policy, which provides for unaccrued, paid time off to be used (without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for purposes such as vacation, relaxation, personal or family needs, and for absences governed by Company leave policies (subject to the limits specified in those policies).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w:t>
      </w:r>
      <w:r>
        <w:rPr>
          <w:rFonts w:ascii="Times New Roman" w:cs="Times New Roman" w:eastAsia="Times New Roman" w:hAnsi="Times New Roman"/>
          <w:sz w:val="18"/>
          <w:szCs w:val="18"/>
          <w:color w:val="auto"/>
        </w:rPr>
        <w:t>Within thirty days (30) days following the start date, you will be granted an initial equity award of 200,000 performance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(“PSUs”) under the terms of the Company’s 2005 Equity Incentive Plan (“EIP”) and the forms of award agreements, which PSUs will be subject to and conditional on all necessary corporate approvals. The Company shall allow you a reasonable amount of time to review and comment on the form of award agreement prior to grant. The PSUs will be considered “Performance Shares” for purposes of the EIP and therefore granted under Sections 7(b) and 12 of the EIP.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Seventy five percent of these PSUs will vest based on the Company’s absolute stock price performance over 3 years following the grant date, as follows:</w:t>
      </w:r>
    </w:p>
    <w:p>
      <w:pPr>
        <w:spacing w:after="0" w:line="252"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$40 price hurdle (average per-share closing price of Company common stock over any 20 consecutive trading day period) = 33% of PSUs become earned (and will vest one year after the grant date if the price hurdle is achieved during first year after the grant date; if not achieved during the first year, can be achieved and immediately vest at any point during the second or third year after grant, in each case subject to continued service through the vesting date).</w:t>
      </w:r>
    </w:p>
    <w:p>
      <w:pPr>
        <w:spacing w:after="0" w:line="206"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$50 price hurdle (average per-share closing price of Company common stock over any 20 consecutive trading day period) = 33% of PSUs become earned (and will vest two years after the grant date if the price hurdle is achieved during the first two years after grant; if not achieved during first two years, can be achieved and immediately vest at any point during the third year after grant, in each case subject to continued service through the vesting date).</w:t>
      </w:r>
    </w:p>
    <w:p>
      <w:pPr>
        <w:spacing w:after="0" w:line="206"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$60 price hurdle (average per-share closing price of Company common stock over any 20 consecutive trading day period) = 34% of PSUs become earned (and will vest three years after grant if the price hurdle is achieved during first three years after grant, in each case subject to continued service through the vesting date).</w:t>
      </w:r>
    </w:p>
    <w:p>
      <w:pPr>
        <w:spacing w:after="0" w:line="202" w:lineRule="exact"/>
        <w:rPr>
          <w:sz w:val="20"/>
          <w:szCs w:val="20"/>
          <w:color w:val="auto"/>
        </w:rPr>
      </w:pPr>
    </w:p>
    <w:p>
      <w:pPr>
        <w:ind w:left="660" w:hanging="324"/>
        <w:spacing w:after="0" w:line="256" w:lineRule="auto"/>
        <w:rPr>
          <w:sz w:val="20"/>
          <w:szCs w:val="20"/>
          <w:color w:val="auto"/>
        </w:rPr>
      </w:pPr>
      <w:r>
        <w:rPr>
          <w:rFonts w:ascii="Times New Roman" w:cs="Times New Roman" w:eastAsia="Times New Roman" w:hAnsi="Times New Roman"/>
          <w:sz w:val="18"/>
          <w:szCs w:val="18"/>
          <w:color w:val="auto"/>
        </w:rPr>
        <w:t>– The award agreement shall provide that (1) once the applicable price hurdle has been achieved, the corresponding portion of PSUs shall be deemed subject to service-based vesting and eligible for equity award acceleration as set forth in the Severance Plan (as defined in Agreement); and (2) in the event of your Qualifying Termination (as defined in the Severance Plan) that does not constitute a Change in Control Termination (as defined in the Severance Plan), to the extent a price hurdle that has not previously been achieved is first achieved during the 20 consecutive trading day period immediately following such Qualifying Termination, you shall vest in such portion of the PSUs eligible to vest based on achievement of such price hurdle, subject to your eligibility for severance benefits under and compliance</w:t>
      </w:r>
    </w:p>
    <w:p>
      <w:pPr>
        <w:sectPr>
          <w:pgSz w:w="11900" w:h="16838" w:orient="portrait"/>
          <w:cols w:equalWidth="0" w:num="1">
            <w:col w:w="11240"/>
          </w:cols>
          <w:pgMar w:left="320" w:top="887" w:right="339" w:bottom="1440" w:gutter="0" w:footer="0" w:header="0"/>
        </w:sectPr>
      </w:pPr>
    </w:p>
    <w:bookmarkStart w:id="37" w:name="page38"/>
    <w:bookmarkEnd w:id="37"/>
    <w:p>
      <w:pPr>
        <w:ind w:left="660"/>
        <w:spacing w:after="0" w:line="282" w:lineRule="auto"/>
        <w:rPr>
          <w:sz w:val="20"/>
          <w:szCs w:val="20"/>
          <w:color w:val="auto"/>
        </w:rPr>
      </w:pPr>
      <w:r>
        <w:rPr>
          <w:rFonts w:ascii="Times New Roman" w:cs="Times New Roman" w:eastAsia="Times New Roman" w:hAnsi="Times New Roman"/>
          <w:sz w:val="18"/>
          <w:szCs w:val="18"/>
          <w:color w:val="auto"/>
        </w:rPr>
        <w:t>with the terms of the Severance Plan (including the requirement to execute and not revoke a general release of claims in favor of the Company as provided in Section 5(a) thereof).</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remaining twenty five percent of PSU awards will vest based on Company GAAP net revenue over 3 years, with 1/3 of the PSUs eligible to vest on each of the first, second, and third anniversaries of the grant date, subject to continued service through the vesting date. To be eligible to vest in any tranche of these PSU awards, the Company must meet the GAAP net revenue goal established by the Board for the applicable year. For example, if the 2024 GAAP net revenue exceeds the targeted level, you will be eligible to vest in 1/3 of the PSUs on the first anniversary of the grant date. The GAAP net revenue targets for each tranche will be set by the Board prior to the grant date. The award agreement shall provide that in the event of your Qualifying Termination that does not constitute a Change in Control Termination that occurs in the latter half of a fiscal year, you shall remain eligible to vest in a prorated portion of the PSUs eligible to vest based on the Company’s GAAP net revenue for such fiscal year in the event such Company GAAP net revenue target is achieved based on the portion of the fiscal year that has elapsed prior to your termination, which vesting shall occur upon the Compensation Committee’s certification of such achievement (but in no event later than March 15 of the calendar year following the year of your termination),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illustrative purposes only, if all the performance requirements of your PSUs were met together with the vesting requirements and the stock was trading at $60, your PSU award would be worth $12,000,000. Consistent with the EIP you may be eligible for refresh awards to be approved by the Compensation Committee at its discretion. 100,000 of the PSUs will be subject to shareholder approval of an amendment to Section 7(b) of the EIP at the Company’s 2024 annual meeting of stockholders to increase the individual award limit on the issuance of “Performance Shares” under the EIP applicable to your award from 100,000 to 250,000; for the avoidance of doubt, it is intended that the PSUs tied to GAAP net revenue and the PSUs tied to the $60 price hurdle will be the portion of the PSUs subject to stockholder approval. In the event such stockholder approval is not obtained, such portion of the PSUs will be forfeited.</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Bonus Plan: </w:t>
      </w:r>
      <w:r>
        <w:rPr>
          <w:rFonts w:ascii="Times New Roman" w:cs="Times New Roman" w:eastAsia="Times New Roman" w:hAnsi="Times New Roman"/>
          <w:sz w:val="18"/>
          <w:szCs w:val="18"/>
          <w:color w:val="auto"/>
        </w:rPr>
        <w:t>In addition to your base salary, you may be eligible to earn, for each fiscal year of the Company ending during the term of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an annual cash bonus, as approved from time to time by the Company’s Board of Directors or Compensation Committee. Your “target” annual bonus for 2024 will be $900,000. Your actual annual bonus will be determined on the basis of such company and individual performance criteria established by the Board of Directors or Compensation Committee in accordance with the terms and conditions of any bonus plan adopted from time to time. Your annual bonus will be paid between January 1 and April 1 of the calendar year following the year to which it relates. Except as otherwise provided in the Severance Plan (as defined below), or as specified below you must be employed by the Company on the date of payment of such annual bonus in order to be eligible to receive such annual bonus. For 2024, will waive any proration that may have otherwise occurred. Notwithstanding the foregoing or anything to the contrary in the Severance Plan, in the event of your Qualifying Termination following the end of a fiscal year but prior to the payment of your annual bonus for such fiscal year, you will be entitled to receive a payment equal to the amount of your earned annual bonus based on performance for such completed fiscal year, as determined by the Compensation Committee, which amount shall be payable when annual bonuses are paid to the Company’s employees generally,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You continue to be eligible to participate in the following benefits.</w:t>
      </w:r>
    </w:p>
    <w:p>
      <w:pPr>
        <w:spacing w:after="0" w:line="25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Life and AD&amp;D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Accident, Critical illness, Hospital Indemnity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Accounts (FSA)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Savings Account (HSA)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Legal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AD&amp;D-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Short/Long Term Disability-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 (EAP)-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Wellness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Welcome Rewards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eligible to participate in the Beyond, Inc. 401(k) Plan pursuant to the terms and conditions of such plan.</w:t>
      </w:r>
    </w:p>
    <w:p>
      <w:pPr>
        <w:sectPr>
          <w:pgSz w:w="11900" w:h="16838" w:orient="portrait"/>
          <w:cols w:equalWidth="0" w:num="1">
            <w:col w:w="11240"/>
          </w:cols>
          <w:pgMar w:left="320" w:top="891" w:right="339" w:bottom="1440" w:gutter="0" w:footer="0" w:header="0"/>
        </w:sectPr>
      </w:pPr>
    </w:p>
    <w:bookmarkStart w:id="38" w:name="page39"/>
    <w:bookmarkEnd w:id="38"/>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At-Will Employment; Severance Plan: </w:t>
      </w:r>
      <w:r>
        <w:rPr>
          <w:rFonts w:ascii="Times New Roman" w:cs="Times New Roman" w:eastAsia="Times New Roman" w:hAnsi="Times New Roman"/>
          <w:sz w:val="18"/>
          <w:szCs w:val="18"/>
          <w:color w:val="auto"/>
        </w:rPr>
        <w:t>Beyond, Inc. is an at-will employer. Nothing in this offer shall limit the right of Beyond, Inc. or yourself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the employment relationship. Notwithstanding the foregoing, you may be entitled to severance upon certain qualifying terminations of employment, as outlined in the Company’s Key Employee Severance Plan (the “Severance Plan”). You have been previously designated as a Tier 2 Participant (as defined in the Severance Plan) in the Severance Plan and you and the Company have previously signed a Participation Notice regarding your participation in the Severance Plan. Notwithstanding the foregoing or anything to the contrary in the Severance Plan, in the event of your Qualifying Termination that is not a Change in Control Termination, in addition to the Cash Severance payable to you under the Severance Plan (as defined therein), you will be entitled to receive a payment equal to your target annual bonus for the fiscal year in which your Qualifying Termination occurs, prorated for the portion of such year that has elapsed prior to the date of termination, which amount shall be payable in a lump sum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date of your Separation from Service (as defined in the Severance Plan),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undertake a market review of the terms of the Severance Plan as soon as reasonably practicable and will submit any changes recommended by the Company’s independent compensation consultant to the Compensation Committee for consideration, but any such amendments will be subject to Compensation Committee approval; provided that in no event will the severance benefits to be provided to you under any amended Severance Plan be less than those provided for a Tier 2 Participant as of the date of this Agreement.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Compliance with Confidentiality Information Agreement and Company Policies: </w:t>
      </w:r>
      <w:r>
        <w:rPr>
          <w:rFonts w:ascii="Times New Roman" w:cs="Times New Roman" w:eastAsia="Times New Roman" w:hAnsi="Times New Roman"/>
          <w:sz w:val="18"/>
          <w:szCs w:val="18"/>
          <w:color w:val="auto"/>
        </w:rPr>
        <w:t>In connection with your employment with the Company,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and have access to Company confidential information and trade secrets. Accordingly, as a condition to your commencement of employment with the Company, you affirm that you have previously executed the Company’s standard form of Employee Confidentiality, Non-Competition and Non-Solicitation and Employment, Confidential Information and Invention Assignment and Arbitration Agreement (the “Confidentiality Agreements”), each of which are attached to this Agreement. In addition, you are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Nothing in this Agreement or the Confidentiality Agreements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you have 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Protection of Third-Party Information: </w:t>
      </w:r>
      <w:r>
        <w:rPr>
          <w:rFonts w:ascii="Times New Roman" w:cs="Times New Roman" w:eastAsia="Times New Roman" w:hAnsi="Times New Roman"/>
          <w:sz w:val="18"/>
          <w:szCs w:val="18"/>
          <w:color w:val="auto"/>
        </w:rPr>
        <w:t>By signing this Agreement, you are representing that you have full authority to accept this position and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w:t>
      </w:r>
    </w:p>
    <w:p>
      <w:pPr>
        <w:sectPr>
          <w:pgSz w:w="11900" w:h="16838" w:orient="portrait"/>
          <w:cols w:equalWidth="0" w:num="1">
            <w:col w:w="11240"/>
          </w:cols>
          <w:pgMar w:left="320" w:top="1130"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During your employment you shall be subject to and covered by a written indemnification agreement between you and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applicable to the Company’s executive officers, which form will be provided to you prior to your start date (the “Indemnification Agreement”).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 Matters; Withholding: </w:t>
      </w:r>
      <w:r>
        <w:rPr>
          <w:rFonts w:ascii="Times New Roman" w:cs="Times New Roman" w:eastAsia="Times New Roman" w:hAnsi="Times New Roman"/>
          <w:sz w:val="18"/>
          <w:szCs w:val="18"/>
          <w:color w:val="auto"/>
        </w:rPr>
        <w:t>All amounts payable to you by the Company will be subject to applicable tax withholding. Section 6(a) of the Severance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Section 409A”) is hereby incorporated herein by reference (as are any defined terms from the Severance Plan used in such section) (with references to the “Plan” in such section amended to refer to this “Agreement” and references to “Participant” amended to refer to you).</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interpretation, construction and performance of this Agreement, and all acts and transactions pursuant hereto and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obligations of the parties hereto shall be governed, construed and interpreted in accordance with the laws of State of Utah, without giving effect to principles of conflicts of law.</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You acknowledge and agree that as of your execution of this Agreement, your sole entitlement to any compensation or benefits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be as set forth in this Agreement. This Agreement, together with the Confidentiality Agreements, the Indemnification Agreement and the documents governing any equity awards granted to you, sets forth the entire agreement and understanding of the parties relating to the subject matter herein and supersedes all prior or contemporaneous discussions, understandings and agreements, whether oral or written, between you and the Company relating to the subject matter hereof. No amendment or modification to this Agreement shall be effective unless it is in writing and signed by an authorized officer of the Company and by you.</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sign below and return this Agreement via Adobe Sign. If you have any questions, please contact me. We look forward to working with you.</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0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ROB CARPENTER</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DAVE NIELSEN</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2/18/2024</w:t>
            </w:r>
          </w:p>
        </w:tc>
      </w:tr>
      <w:tr>
        <w:trPr>
          <w:trHeight w:val="218"/>
        </w:trPr>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 Carpenter</w:t>
            </w:r>
          </w:p>
        </w:tc>
        <w:tc>
          <w:tcPr>
            <w:tcW w:w="460" w:type="dxa"/>
            <w:vAlign w:val="bottom"/>
          </w:tcPr>
          <w:p>
            <w:pPr>
              <w:spacing w:after="0"/>
              <w:rPr>
                <w:sz w:val="18"/>
                <w:szCs w:val="18"/>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Dave Nielsen</w:t>
            </w:r>
          </w:p>
        </w:tc>
        <w:tc>
          <w:tcPr>
            <w:tcW w:w="440" w:type="dxa"/>
            <w:vAlign w:val="bottom"/>
          </w:tcPr>
          <w:p>
            <w:pPr>
              <w:spacing w:after="0"/>
              <w:rPr>
                <w:sz w:val="18"/>
                <w:szCs w:val="18"/>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3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CONFIDENTIAL – PROPERTY OF BEYOND, INC. </w:t>
      </w:r>
      <w:r>
        <w:rPr>
          <w:rFonts w:ascii="Times New Roman" w:cs="Times New Roman" w:eastAsia="Times New Roman" w:hAnsi="Times New Roman"/>
          <w:sz w:val="18"/>
          <w:szCs w:val="18"/>
          <w:color w:val="auto"/>
        </w:rPr>
        <w:t>the existence and terms of this Agreement and all related communications are confidential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only for your personal and family consideration.</w:t>
      </w:r>
    </w:p>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Chandra,</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pleased to offer you the position of Division Chief Executive Officer, Bed Bath &amp; Beyond with Beyond, Inc. (“Beyond” or the “Company”) on the terms described in this letter agreement (this “Agreement”). We believe you will be an excellent addition to our senior executive team and are excited to have you on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your compensation, benefits, and the terms and conditions of our employment offer: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Start date: </w:t>
      </w:r>
      <w:r>
        <w:rPr>
          <w:rFonts w:ascii="Times New Roman" w:cs="Times New Roman" w:eastAsia="Times New Roman" w:hAnsi="Times New Roman"/>
          <w:sz w:val="18"/>
          <w:szCs w:val="18"/>
          <w:color w:val="auto"/>
        </w:rPr>
        <w:t>On or about February 15,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Employment status: </w:t>
      </w:r>
      <w:r>
        <w:rPr>
          <w:rFonts w:ascii="Times New Roman" w:cs="Times New Roman" w:eastAsia="Times New Roman" w:hAnsi="Times New Roman"/>
          <w:sz w:val="18"/>
          <w:szCs w:val="18"/>
          <w:color w:val="auto"/>
        </w:rPr>
        <w:t>Full-time, Exempt.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color w:val="auto"/>
        </w:rPr>
        <w:t>$34,615.38 per pay period ($900,000 annually), to be paid in accordance with the Company’s regular payroll practices.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the full annual amount of $900,000 you must be employed for all 26 pay periods.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Report to: </w:t>
      </w:r>
      <w:r>
        <w:rPr>
          <w:rFonts w:ascii="Times New Roman" w:cs="Times New Roman" w:eastAsia="Times New Roman" w:hAnsi="Times New Roman"/>
          <w:sz w:val="18"/>
          <w:szCs w:val="18"/>
          <w:color w:val="auto"/>
        </w:rPr>
        <w:t>Marcus Lemonis, or if Marcus Lemonis no longer serves on the Board of Directors of the Company (the “Board”),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Work location: </w:t>
      </w:r>
      <w:r>
        <w:rPr>
          <w:rFonts w:ascii="Times New Roman" w:cs="Times New Roman" w:eastAsia="Times New Roman" w:hAnsi="Times New Roman"/>
          <w:sz w:val="18"/>
          <w:szCs w:val="18"/>
          <w:color w:val="auto"/>
        </w:rPr>
        <w:t>Dallas, TX, subject to such travel as reasonably required in connection with your duties.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Paid Time Off: </w:t>
      </w:r>
      <w:r>
        <w:rPr>
          <w:rFonts w:ascii="Times New Roman" w:cs="Times New Roman" w:eastAsia="Times New Roman" w:hAnsi="Times New Roman"/>
          <w:sz w:val="18"/>
          <w:szCs w:val="18"/>
          <w:color w:val="auto"/>
        </w:rPr>
        <w:t>You will participate in the Company’s flexible time away policy, which provides for unaccrued, paid time off to be used (without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for purposes such as vacation, relaxation, personal or family needs, and for absences governed by Company leave policies (subject to the limits specified in those policies).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w:t>
      </w:r>
      <w:r>
        <w:rPr>
          <w:rFonts w:ascii="Times New Roman" w:cs="Times New Roman" w:eastAsia="Times New Roman" w:hAnsi="Times New Roman"/>
          <w:sz w:val="18"/>
          <w:szCs w:val="18"/>
          <w:color w:val="auto"/>
        </w:rPr>
        <w:t>Within thirty days (30) days following the start date, you will be granted an initial equity award of 200,000 performance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(“PSUs”) under the terms of the Company’s 2005 Equity Incentive Plan (“EIP”) and the forms of award agreements, which PSUs will be subject to and conditional on all necessary corporate approvals. The Company shall allow you a reasonable amount of time to review and comment on the form of award agreement prior to grant. The PSUs will be considered “Performance Shares” for purposes of the EIP and therefore granted under Sections 7(b) and 12 of the EIP.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Seventy five percent of these PSUs will vest based on the Company’s absolute stock price performance over 3 years following the grant date, as follows:</w:t>
      </w:r>
    </w:p>
    <w:p>
      <w:pPr>
        <w:spacing w:after="0" w:line="252"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$40 price hurdle (average per-share closing price of Company common stock over any 20 consecutive trading day period) = 33% of PSUs become earned (and will vest one year after the grant date if the price hurdle is achieved during first year after the grant date; if not achieved during the first year, can be achieved and immediately vest at any point during the second or third year after grant, in each case subject to continued service through the vesting date).</w:t>
      </w:r>
    </w:p>
    <w:p>
      <w:pPr>
        <w:spacing w:after="0" w:line="206"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$50 price hurdle (average per-share closing price of Company common stock over any 20 consecutive trading day period) = 33% of PSUs become earned (and will vest two years after the grant date if the price hurdle is achieved during the first two years after grant; if not achieved during first two years, can be achieved and immediately vest at any point during the third year after grant, in each case subject to continued service through the vesting date).</w:t>
      </w:r>
    </w:p>
    <w:p>
      <w:pPr>
        <w:spacing w:after="0" w:line="206"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$60 price hurdle (average per-share closing price of Company common stock over any 20 consecutive trading day period) = 34% of PSUs become earned (and will vest three years after grant if the price hurdle is achieved during first three years after grant, in each case subject to continued service through the vesting date).</w:t>
      </w:r>
    </w:p>
    <w:p>
      <w:pPr>
        <w:spacing w:after="0" w:line="202" w:lineRule="exact"/>
        <w:rPr>
          <w:sz w:val="20"/>
          <w:szCs w:val="20"/>
          <w:color w:val="auto"/>
        </w:rPr>
      </w:pPr>
    </w:p>
    <w:p>
      <w:pPr>
        <w:ind w:left="660" w:hanging="324"/>
        <w:spacing w:after="0" w:line="258" w:lineRule="auto"/>
        <w:rPr>
          <w:sz w:val="20"/>
          <w:szCs w:val="20"/>
          <w:color w:val="auto"/>
        </w:rPr>
      </w:pPr>
      <w:r>
        <w:rPr>
          <w:rFonts w:ascii="Times New Roman" w:cs="Times New Roman" w:eastAsia="Times New Roman" w:hAnsi="Times New Roman"/>
          <w:sz w:val="18"/>
          <w:szCs w:val="18"/>
          <w:color w:val="auto"/>
        </w:rPr>
        <w:t>– The award agreement shall provide that (1) once the applicable price hurdle has been achieved, the corresponding portion of PSUs shall be deemed subject to service-based vesting and eligible for equity award acceleration as set forth in the Severance Plan (as defined in Agreement); and (2) in the event of your Qualifying Termination (as defined in the Severance Plan) that does not constitute a Change in Control Termination (as defined in the Severance Plan), to the extent a price hurdle that has not previously been achieved is first achieved during the 20 consecutive trading day period immediately following such Qualifying Termination, you shall vest in such portion of the PSUs eligible to vest</w:t>
      </w:r>
    </w:p>
    <w:p>
      <w:pPr>
        <w:sectPr>
          <w:pgSz w:w="11900" w:h="16838" w:orient="portrait"/>
          <w:cols w:equalWidth="0" w:num="1">
            <w:col w:w="11240"/>
          </w:cols>
          <w:pgMar w:left="320" w:top="887" w:right="339" w:bottom="1440" w:gutter="0" w:footer="0" w:header="0"/>
        </w:sectPr>
      </w:pPr>
    </w:p>
    <w:bookmarkStart w:id="41" w:name="page42"/>
    <w:bookmarkEnd w:id="41"/>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based on achievement of such price hurdle, subject to your eligibility for severance benefits under and compliance with the terms of the Severance Plan (including the requirement to execute and not revoke a general release of claims in favor of the Company as provided in Section 5(a) thereof).</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remaining twenty five percent of PSU awards will vest based on Company GAAP net revenue over 3 years, with 1/3 of the PSUs eligible to vest on each of the first, second, and third anniversaries of the grant date, subject to continued service through the vesting date. To be eligible to vest in any tranche of these PSU awards, the Company must meet the GAAP net revenue goal established by the Board for the applicable year. For example, if the 2024 GAAP net revenue exceeds the targeted level, you will be eligible to vest in 1/3 of the PSUs on the first anniversary of the grant date. The GAAP net revenue targets for each tranche will be set by the Board prior to the grant date. The award agreement shall provide that in the event of your Qualifying Termination that does not constitute a Change in Control Termination that occurs in the latter half of a fiscal year, you shall remain eligible to vest in a prorated portion of the PSUs eligible to vest based on the Company’s GAAP net revenue for such fiscal year in the event such Company GAAP net revenue target is achieved based on the portion of the fiscal year that has elapsed prior to your termination, which vesting shall occur upon the Compensation Committee’s certification of such achievement (but in no event later than March 15 of the calendar year following the year of your termination),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illustrative purposes only, if all the performance requirements of your PSUs were met together with the vesting requirements and the stock was trading at $60, your PSU award would be worth $12,000,000. Consistent with the EIP you may be eligible for refresh awards to be approved by the Compensation Committee at its discretion.</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Bonus Plan: </w:t>
      </w:r>
      <w:r>
        <w:rPr>
          <w:rFonts w:ascii="Times New Roman" w:cs="Times New Roman" w:eastAsia="Times New Roman" w:hAnsi="Times New Roman"/>
          <w:sz w:val="18"/>
          <w:szCs w:val="18"/>
          <w:color w:val="auto"/>
        </w:rPr>
        <w:t>In addition to your base salary, you may be eligible to earn, for each fiscal year of the Company ending during the term of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an annual cash bonus, as approved from time to time by the Company’s Board of Directors or Compensation Committee. Your “target” annual bonus for 2024 will be $900,000. Your actual annual bonus will be determined on the basis of such company and individual performance criteria established by the Board of Directors or Compensation Committee in accordance with the terms and conditions of any bonus plan adopted from time to time. Your annual bonus will be paid between January 1 and April 1 of the calendar year following the year to which it relates. Except as otherwise provided in the Severance Plan (as defined below), or as specified below you must be employed by the Company on the date of payment of such annual bonus in order to be eligible to receive such annual bonus. For 2024, will waive any proration that may have otherwise occurred. Notwithstanding the foregoing or anything to the contrary in the Severance Plan, in the event of your Qualifying Termination following the end of a fiscal year but prior to the payment of your annual bonus for such fiscal year, you will be entitled to receive a payment equal to the amount of your earned annual bonus based on performance for such completed fiscal year, as determined by the Compensation Committee, which amount shall be payable when annual bonuses are paid to the Company’s employees generally,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You will also be eligible to participate in the following benefits effective the first of the month following your hire date.</w:t>
      </w:r>
    </w:p>
    <w:p>
      <w:pPr>
        <w:spacing w:after="0" w:line="25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Life and AD&amp;D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Accident, Critical illness, Hospital Indemnity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Accounts (FSA)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Savings Account (HSA)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Legal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AD&amp;D-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Short/Long Term Disability-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 (EAP)-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Wellness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Welcome Rewards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will be eligible to participate in the Beyond, Inc. 401(k) Plan pursuant to the terms and conditions of such plan. You will be provided an annual executive physical at a facility selected by you, which executive physical shall be comprised of the standard procedures and services customarily included in an executive physical. You will be reimbursed your reasonable attorneys’ fees incurred in the negotiation of this offer letter and the documents referenced herein, not to exceed $10,000.</w:t>
      </w:r>
    </w:p>
    <w:p>
      <w:pPr>
        <w:sectPr>
          <w:pgSz w:w="11900" w:h="16838" w:orient="portrait"/>
          <w:cols w:equalWidth="0" w:num="1">
            <w:col w:w="11240"/>
          </w:cols>
          <w:pgMar w:left="320" w:top="891" w:right="339" w:bottom="1440" w:gutter="0" w:footer="0" w:header="0"/>
        </w:sectPr>
      </w:pPr>
    </w:p>
    <w:bookmarkStart w:id="42" w:name="page43"/>
    <w:bookmarkEnd w:id="42"/>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At-Will Employment; Severance Plan: </w:t>
      </w:r>
      <w:r>
        <w:rPr>
          <w:rFonts w:ascii="Times New Roman" w:cs="Times New Roman" w:eastAsia="Times New Roman" w:hAnsi="Times New Roman"/>
          <w:sz w:val="18"/>
          <w:szCs w:val="18"/>
          <w:color w:val="auto"/>
        </w:rPr>
        <w:t>Beyond, Inc. is an at-will employer. Nothing in this offer shall limit the right of Beyond, Inc. or yourself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the employment relationship. Notwithstanding the foregoing, you may be entitled to severance upon certain qualifying terminations of employment, as outlined in the Company’s Key Employee Severance Plan (the “Severance Plan”). A copy of the Severance Plan is attached to this Agreement. By signing this Agreement, you acknowledge your designation as a Tier 2 Participant (as defined in the Severance Plan) in the Severance Plan and your understanding that you agree to all the terms and conditions of the Severance Plan. Notwithstanding the foregoing or anything to the contrary in the Severance Plan, in the event of your Qualifying Termination that is not a Change in Control Termination, in addition to the Cash Severance payable to you under the Severance Plan (as defined therein), you will be entitled to receive a payment equal to your target annual bonus for the fiscal year in which your Qualifying Termination occurs, prorated for the portion of such year that has elapsed prior to the date of termination, which amount shall be payable in a lump sum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date of your Separation from Service (as defined in the Severance Plan),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undertake a market review of the terms of the Severance Plan as soon as reasonably practicable following your start date and will submit any changes recommended by the Company’s independent compensation consultant to the Compensation Committee for consideration, but any such amendments will be subject to Compensation Committee approval; provided that in no event will the severance benefits to be provided to you under any amended Severance Plan be less than those provided for a Tier 2 Participant as of the date of this Agreement.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Compliance with Confidentiality Information Agreement and Company Policies: </w:t>
      </w:r>
      <w:r>
        <w:rPr>
          <w:rFonts w:ascii="Times New Roman" w:cs="Times New Roman" w:eastAsia="Times New Roman" w:hAnsi="Times New Roman"/>
          <w:sz w:val="18"/>
          <w:szCs w:val="18"/>
          <w:color w:val="auto"/>
        </w:rPr>
        <w:t>In connection with your employment with the Company,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and have access to Company confidential information and trade secrets. Accordingly, as a condition to your commencement of employment with the Company, you will be required to execute the Company’s standard form of Employee Confidentiality, Non-Competition and Non-Solicitation and Employment, Confidential Information and Invention Assignment and Arbitration Agreement (the “Confidentiality Agreements”), each of which are attached to this Agreement. In addition, you are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Nothing in this Agreement or the Confidentiality Agreements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you have 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Protection of Third-Party Information: </w:t>
      </w:r>
      <w:r>
        <w:rPr>
          <w:rFonts w:ascii="Times New Roman" w:cs="Times New Roman" w:eastAsia="Times New Roman" w:hAnsi="Times New Roman"/>
          <w:sz w:val="18"/>
          <w:szCs w:val="18"/>
          <w:color w:val="auto"/>
        </w:rPr>
        <w:t>By signing this Agreement, you are representing that you have full authority to accept this position and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w:t>
      </w:r>
    </w:p>
    <w:p>
      <w:pPr>
        <w:sectPr>
          <w:pgSz w:w="11900" w:h="16838" w:orient="portrait"/>
          <w:cols w:equalWidth="0" w:num="1">
            <w:col w:w="11240"/>
          </w:cols>
          <w:pgMar w:left="320" w:top="1373"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During your employment you shall be subject to and covered by a written indemnification agreement between you and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applicable to the Company’s executive officers, which form will be provided to you prior to your start date (the “Indemnification Agreement”).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 Matters; Withholding: </w:t>
      </w:r>
      <w:r>
        <w:rPr>
          <w:rFonts w:ascii="Times New Roman" w:cs="Times New Roman" w:eastAsia="Times New Roman" w:hAnsi="Times New Roman"/>
          <w:sz w:val="18"/>
          <w:szCs w:val="18"/>
          <w:color w:val="auto"/>
        </w:rPr>
        <w:t>All amounts payable to you by the Company will be subject to applicable tax withholding. Section 6(a) of the Severance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Section 409A”) is hereby incorporated herein by reference (as are any defined terms from the Severance Plan used in such section) (with references to the “Plan” in such section amended to refer to this “Agreement” and references to “Participant” amended to refer to you).</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interpretation, construction and performance of this Agreement, and all acts and transactions pursuant hereto and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obligations of the parties hereto shall be governed, construed and interpreted in accordance with the laws of State of Texas, without giving effect to principles of conflicts of law.</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You acknowledge and agree that as of your execution of this Agreement, your sole entitlement to any compensation or benefits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be as set forth in this Agreement. This Agreement, together with the Confidentiality Agreements, the Indemnification Agreement and the documents governing any equity awards granted to you, sets forth the entire agreement and understanding of the parties relating to the subject matter herein and supersedes all prior or contemporaneous discussions, understandings and agreements, whether oral or written, between you and the Company relating to the subject matter hereof. No amendment or modification to this Agreement shall be effective unless it is in writing and signed by an authorized officer of the Company and by you.</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spacing w:after="0" w:line="2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Conditions to Employment: </w:t>
      </w:r>
      <w:r>
        <w:rPr>
          <w:rFonts w:ascii="Times New Roman" w:cs="Times New Roman" w:eastAsia="Times New Roman" w:hAnsi="Times New Roman"/>
          <w:sz w:val="18"/>
          <w:szCs w:val="18"/>
          <w:color w:val="auto"/>
        </w:rPr>
        <w:t>This offer is contingent upon a satisfactory background check of credit, criminal, educational or other relevant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satisfactory proof of your right to work in the United States. You agree to assist as needed and to complete any documentation at the Company’s request to meet these conditions. The documentation required to complete the background check will be forwarded to you separately.</w:t>
      </w:r>
    </w:p>
    <w:p>
      <w:pPr>
        <w:spacing w:after="0"/>
        <w:rPr>
          <w:sz w:val="20"/>
          <w:szCs w:val="20"/>
          <w:color w:val="auto"/>
        </w:rPr>
      </w:pPr>
      <w:r>
        <w:rPr>
          <w:rFonts w:ascii="Times New Roman" w:cs="Times New Roman" w:eastAsia="Times New Roman" w:hAnsi="Times New Roman"/>
          <w:sz w:val="18"/>
          <w:szCs w:val="18"/>
          <w:color w:val="auto"/>
        </w:rPr>
        <w:t>Please sign below and return this Agreement and the Confidentiality Agreements via Adobe Sign. If you have any questions, please contact your recruiter.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working with you.</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9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ROB CARPENTER</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CHANDRA HOLT</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2/19/2024</w:t>
            </w:r>
          </w:p>
        </w:tc>
      </w:tr>
      <w:tr>
        <w:trPr>
          <w:trHeight w:val="218"/>
        </w:trPr>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 Carpenter</w:t>
            </w:r>
          </w:p>
        </w:tc>
        <w:tc>
          <w:tcPr>
            <w:tcW w:w="460" w:type="dxa"/>
            <w:vAlign w:val="bottom"/>
          </w:tcPr>
          <w:p>
            <w:pPr>
              <w:spacing w:after="0"/>
              <w:rPr>
                <w:sz w:val="18"/>
                <w:szCs w:val="18"/>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Chandra Holt</w:t>
            </w:r>
          </w:p>
        </w:tc>
        <w:tc>
          <w:tcPr>
            <w:tcW w:w="440" w:type="dxa"/>
            <w:vAlign w:val="bottom"/>
          </w:tcPr>
          <w:p>
            <w:pPr>
              <w:spacing w:after="0"/>
              <w:rPr>
                <w:sz w:val="18"/>
                <w:szCs w:val="18"/>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3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CONFIDENTIAL – PROPERTY OF BEYOND, INC. </w:t>
      </w:r>
      <w:r>
        <w:rPr>
          <w:rFonts w:ascii="Times New Roman" w:cs="Times New Roman" w:eastAsia="Times New Roman" w:hAnsi="Times New Roman"/>
          <w:sz w:val="18"/>
          <w:szCs w:val="18"/>
          <w:color w:val="auto"/>
        </w:rPr>
        <w:t>the existence and terms of this Agreement and all related communications are confidential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only for your personal and family consideration.</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Adrianne,</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pleased to offer you the position of Chief Financial &amp; Administrative Officer with Beyond, Inc. (“Beyond” or the “Company”) on the terms described in this letter agreement (this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your compensation, benefits, and the terms and conditions of our employment offer: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Start date: </w:t>
      </w:r>
      <w:r>
        <w:rPr>
          <w:rFonts w:ascii="Times New Roman" w:cs="Times New Roman" w:eastAsia="Times New Roman" w:hAnsi="Times New Roman"/>
          <w:sz w:val="18"/>
          <w:szCs w:val="18"/>
          <w:color w:val="auto"/>
        </w:rPr>
        <w:t>On or about February 19,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Employment status: </w:t>
      </w:r>
      <w:r>
        <w:rPr>
          <w:rFonts w:ascii="Times New Roman" w:cs="Times New Roman" w:eastAsia="Times New Roman" w:hAnsi="Times New Roman"/>
          <w:sz w:val="18"/>
          <w:szCs w:val="18"/>
          <w:color w:val="auto"/>
        </w:rPr>
        <w:t>Full-time, Exempt.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color w:val="auto"/>
        </w:rPr>
        <w:t>$23,076.92 per pay period ($600,000 annually), to be paid in accordance with the Company’s regular payroll practices.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the full annual amount of $600,000 you must be employed for all 26 pay periods.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Report to: </w:t>
      </w:r>
      <w:r>
        <w:rPr>
          <w:rFonts w:ascii="Times New Roman" w:cs="Times New Roman" w:eastAsia="Times New Roman" w:hAnsi="Times New Roman"/>
          <w:sz w:val="18"/>
          <w:szCs w:val="18"/>
          <w:color w:val="auto"/>
        </w:rPr>
        <w:t>Marcus Lemonis, or if Marcus Lemonis no longer serves on the Board of Directors of the Company (the “Board”), the Board.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Work location: </w:t>
      </w:r>
      <w:r>
        <w:rPr>
          <w:rFonts w:ascii="Times New Roman" w:cs="Times New Roman" w:eastAsia="Times New Roman" w:hAnsi="Times New Roman"/>
          <w:sz w:val="18"/>
          <w:szCs w:val="18"/>
          <w:color w:val="auto"/>
        </w:rPr>
        <w:t>Midvale, UT, subject to such travel as reasonably required in connection with your duties.</w:t>
      </w:r>
    </w:p>
    <w:p>
      <w:pPr>
        <w:spacing w:after="0" w:line="25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Paid Time Off: </w:t>
      </w:r>
      <w:r>
        <w:rPr>
          <w:rFonts w:ascii="Times New Roman" w:cs="Times New Roman" w:eastAsia="Times New Roman" w:hAnsi="Times New Roman"/>
          <w:sz w:val="18"/>
          <w:szCs w:val="18"/>
          <w:color w:val="auto"/>
        </w:rPr>
        <w:t>You will participate in the Company’s flexible time away policy, which provides for unaccrued, paid time off to be used (without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limits) for purposes such as vacation, relaxation, personal or family needs, and for absences governed by Company leave policies (subject to the limits specified in those policies).</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w:t>
      </w:r>
      <w:r>
        <w:rPr>
          <w:rFonts w:ascii="Times New Roman" w:cs="Times New Roman" w:eastAsia="Times New Roman" w:hAnsi="Times New Roman"/>
          <w:sz w:val="18"/>
          <w:szCs w:val="18"/>
          <w:color w:val="auto"/>
        </w:rPr>
        <w:t>Within thirty days (30) days following the start date, you will be granted an initial equity award of 120,000 performance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(“PSUs”) under the terms of the Company’s 2005 Equity Incentive Plan (“EIP”) and the forms of award agreements, which PSUs will be subject to and conditional on all necessary corporate approvals. The Company shall allow you a reasonable amount of time to review and comment on the form of award agreement prior to grant. The PSUs will be considered “Performance Shares” for purposes of the EIP and therefore granted under Sections 7(b) and 12 of the EIP.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Seventy five percent of these PSUs will vest based on the Company’s absolute stock price performance over 3 years following the grant date, as follows:</w:t>
      </w:r>
    </w:p>
    <w:p>
      <w:pPr>
        <w:spacing w:after="0" w:line="252"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$40 price hurdle (average per-share closing price of Company common stock over any 20 consecutive trading day period) = 33% of PSUs become earned (and will vest one year after the grant date if the price hurdle is achieved during first year after the grant date; if not achieved during the first year, can be achieved and immediately vest at any point during the second or third year after grant, in each case subject to continued service through the vesting date).</w:t>
      </w:r>
    </w:p>
    <w:p>
      <w:pPr>
        <w:spacing w:after="0" w:line="206"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$50 price hurdle (average per-share closing price of Company common stock over any 20 consecutive trading day period) = 33% of PSUs become earned (and will vest two years after the grant date if the price hurdle is achieved during the first two years after grant; if not achieved during first two years, can be achieved and immediately vest at any point during the third year after grant, in each case subject to continued service through the vesting date).</w:t>
      </w:r>
    </w:p>
    <w:p>
      <w:pPr>
        <w:spacing w:after="0" w:line="206"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$60 price hurdle (average per-share closing price of Company common stock over any 20 consecutive trading day period) = 34% of PSUs become earned (and will vest three years after grant if the price hurdle is achieved during first three years after grant, in each case subject to continued service through the vesting date).</w:t>
      </w:r>
    </w:p>
    <w:p>
      <w:pPr>
        <w:spacing w:after="0" w:line="202" w:lineRule="exact"/>
        <w:rPr>
          <w:sz w:val="20"/>
          <w:szCs w:val="20"/>
          <w:color w:val="auto"/>
        </w:rPr>
      </w:pPr>
    </w:p>
    <w:p>
      <w:pPr>
        <w:ind w:left="660" w:hanging="324"/>
        <w:spacing w:after="0" w:line="256" w:lineRule="auto"/>
        <w:rPr>
          <w:sz w:val="20"/>
          <w:szCs w:val="20"/>
          <w:color w:val="auto"/>
        </w:rPr>
      </w:pPr>
      <w:r>
        <w:rPr>
          <w:rFonts w:ascii="Times New Roman" w:cs="Times New Roman" w:eastAsia="Times New Roman" w:hAnsi="Times New Roman"/>
          <w:sz w:val="18"/>
          <w:szCs w:val="18"/>
          <w:color w:val="auto"/>
        </w:rPr>
        <w:t>– The award agreement shall provide that (1) once the applicable price hurdle has been achieved, the corresponding portion of PSUs shall be deemed subject to service-based vesting and eligible for equity award acceleration as set forth in the Severance Plan (as defined in Agreement); and (2) in the event of your Qualifying Termination (as defined in the Severance Plan) that does not constitute a Change in Control Termination (as defined in the Severance Plan), to the extent a price hurdle that has not previously been achieved is first achieved during the 20 consecutive trading day period immediately following such Qualifying Termination, you shall vest in such portion of the PSUs eligible to vest based on achievement of such price hurdle, subject to your eligibility for severance benefits under and compliance</w:t>
      </w:r>
    </w:p>
    <w:p>
      <w:pPr>
        <w:sectPr>
          <w:pgSz w:w="11900" w:h="16838" w:orient="portrait"/>
          <w:cols w:equalWidth="0" w:num="1">
            <w:col w:w="11240"/>
          </w:cols>
          <w:pgMar w:left="320" w:top="887" w:right="339" w:bottom="1440" w:gutter="0" w:footer="0" w:header="0"/>
        </w:sectPr>
      </w:pPr>
    </w:p>
    <w:bookmarkStart w:id="45" w:name="page46"/>
    <w:bookmarkEnd w:id="45"/>
    <w:p>
      <w:pPr>
        <w:ind w:left="660"/>
        <w:spacing w:after="0" w:line="282" w:lineRule="auto"/>
        <w:rPr>
          <w:sz w:val="20"/>
          <w:szCs w:val="20"/>
          <w:color w:val="auto"/>
        </w:rPr>
      </w:pPr>
      <w:r>
        <w:rPr>
          <w:rFonts w:ascii="Times New Roman" w:cs="Times New Roman" w:eastAsia="Times New Roman" w:hAnsi="Times New Roman"/>
          <w:sz w:val="18"/>
          <w:szCs w:val="18"/>
          <w:color w:val="auto"/>
        </w:rPr>
        <w:t>with the terms of the Severance Plan (including the requirement to execute and not revoke a general release of claims in favor of the Company as provided in Section 5(a) thereof).</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remaining twenty five percent of PSU awards will vest based on Company GAAP net revenue over 3 years, with 1/3 of the PSUs eligible to vest on each of the first, second, and third anniversaries of the grant date, subject to continued service through the vesting date. To be eligible to vest in any tranche of these PSU awards, the Company must meet the GAAP net revenue goal established by the Board for the applicable year. For example, if the 2024 GAAP net revenue exceeds the targeted level, you will be eligible to vest in 1/3 of the PSUs on the first anniversary of the grant date. The GAAP net revenue targets for each tranche will be set by the Board prior to the grant date. The award agreement shall provide that in the event of your Qualifying Termination that does not constitute a Change in Control Termination that occurs in the latter half of a fiscal year, you shall remain eligible to vest in a prorated portion of the PSUs eligible to vest based on the Company’s GAAP net revenue for such fiscal year in the event such Company GAAP net revenue target is achieved based on the portion of the fiscal year that has elapsed prior to your termination, which vesting shall occur upon the Compensation Committee’s certification of such achievement (but in no event later than March 15 of the calendar year following the year of your termination),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illustrative purposes only, if all the performance requirements of your PSUs were met together with the vesting requirements and the stock was trading at $60, your PSU award would be worth $7,200,000. Consistent with the EIP you may be eligible for refresh awards to be approved by the Compensation Committee at its discretion. 20,000 of the PSUs will be subject to shareholder approval of an amendment to Section 7(b) of the EIP at the Company’s 2024 annual meeting of stockholders to increase the individual award limit on the issuance of “Performance Shares” under the EIP applicable to your award from 100,000 to 250,000; for the avoidance of doubt, it is intended that 20,000 of the PSUs tied to GAAP net revenue (consisting of the portions of the award tied to 2025 and 2026 GAAP net revenue) will be the portion of the PSUs subject to stockholder approval. In the event such stockholder approval is not obtained, such portion of the PSUs will be forfeited.</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Bonus Plan: </w:t>
      </w:r>
      <w:r>
        <w:rPr>
          <w:rFonts w:ascii="Times New Roman" w:cs="Times New Roman" w:eastAsia="Times New Roman" w:hAnsi="Times New Roman"/>
          <w:sz w:val="18"/>
          <w:szCs w:val="18"/>
          <w:color w:val="auto"/>
        </w:rPr>
        <w:t>In addition to your base salary, you may be eligible to earn, for each fiscal year of the Company ending during the term of your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 an annual cash bonus, as approved from time to time by the Company’s Board of Directors or Compensation Committee. Your “target” annual bonus for 2024 will be $300,000. Your actual annual bonus will be determined on the basis of such company and individual performance criteria established by the Board of Directors or Compensation Committee in accordance with the terms and conditions of any bonus plan adopted from time to time. Your annual bonus will be paid between January 1 and April 1 of the calendar year following the year to which it relates. Except as otherwise provided in the Severance Plan (as defined below), or as specified below you must be employed by the Company on the date of payment of such annual bonus in order to be eligible to receive such annual bonus. For 2024, will waive any proration that may have otherwise occurred. Notwithstanding the foregoing or anything to the contrary in the Severance Plan, in the event of your Qualifying Termination following the end of a fiscal year but prior to the payment of your annual bonus for such fiscal year, you will be entitled to receive a payment equal to the amount of your earned annual bonus based on performance for such completed fiscal year, as determined by the Compensation Committee, which amount shall be payable when annual bonuses are paid to the Company’s employees generally,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You continue to be eligible to participate in the following benefits.</w:t>
      </w:r>
    </w:p>
    <w:p>
      <w:pPr>
        <w:spacing w:after="0" w:line="25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Life and AD&amp;D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Accident, Critical illness, Hospital Indemnity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Spending Accounts (FSA)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Savings Account (HSA)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Legal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and AD&amp;D-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Short/Long Term Disability-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Assistance Program (EAP)- Company Paid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Wellness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Welcome Rewards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eligible to participate in the Beyond, Inc. 401(k) Plan pursuant to the terms and conditions of such plan.</w:t>
      </w:r>
    </w:p>
    <w:p>
      <w:pPr>
        <w:sectPr>
          <w:pgSz w:w="11900" w:h="16838" w:orient="portrait"/>
          <w:cols w:equalWidth="0" w:num="1">
            <w:col w:w="11240"/>
          </w:cols>
          <w:pgMar w:left="320" w:top="891" w:right="339" w:bottom="1440" w:gutter="0" w:footer="0" w:header="0"/>
        </w:sectPr>
      </w:pPr>
    </w:p>
    <w:bookmarkStart w:id="46" w:name="page47"/>
    <w:bookmarkEnd w:id="46"/>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At-Will Employment; Severance Plan: </w:t>
      </w:r>
      <w:r>
        <w:rPr>
          <w:rFonts w:ascii="Times New Roman" w:cs="Times New Roman" w:eastAsia="Times New Roman" w:hAnsi="Times New Roman"/>
          <w:sz w:val="18"/>
          <w:szCs w:val="18"/>
          <w:color w:val="auto"/>
        </w:rPr>
        <w:t>Beyond, Inc. is an at-will employer. Nothing in this offer shall limit the right of Beyond, Inc. or yourself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the employment relationship. Notwithstanding the foregoing, you may be entitled to severance upon certain qualifying terminations of employment, as outlined in the Company’s Key Employee Severance Plan (the “Severance Plan”). You have been previously designated as a Tier 2 Participant (as defined in the Severance Plan) in the Severance Plan and you and the Company have previously signed a Participation Notice regarding your participation in the Severance Plan. Notwithstanding the foregoing or anything to the contrary in the Severance Plan, in the event of your Qualifying Termination that is not a Change in Control Termination, in addition to the Cash Severance payable to you under the Severance Plan (as defined therein), you will be entitled to receive a payment equal to your target annual bonus for the fiscal year in which your Qualifying Termination occurs, prorated for the portion of such year that has elapsed prior to the date of termination, which amount shall be payable in a lump sum on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after the date of your Separation from Service (as defined in the Severance Plan), subject to your eligibility for severance benefits under and your compliance with the terms of the Severance Plan (including the requirement to execute and not revoke a general release of claims in favor of the Company as provided in Section 5(a) thereof).</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undertake a market review of the terms of the Severance Plan as soon as reasonably practicable and will submit any changes recommended by the Company’s independent compensation consultant to the Compensation Committee for consideration, but any such amendments will be subject to Compensation Committee approval; provided that in no event will the severance benefits to be provided to you under any amended Severance Plan be less than those provided for a Tier 2 Participant as of the date of this Agreement.</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Compliance with Confidentiality Information Agreement and Company Policies: </w:t>
      </w:r>
      <w:r>
        <w:rPr>
          <w:rFonts w:ascii="Times New Roman" w:cs="Times New Roman" w:eastAsia="Times New Roman" w:hAnsi="Times New Roman"/>
          <w:sz w:val="18"/>
          <w:szCs w:val="18"/>
          <w:color w:val="auto"/>
        </w:rPr>
        <w:t>In connection with your employment with the Company, you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and have access to Company confidential information and trade secrets. Accordingly, as a condition to your commencement of employment with the Company, you affirm that you have previously executed an Employee Confidentiality, Non-Competition and Non-Solicitation and Employment, Confidential Information and Invention Assignment and Arbitration Agreement (the “Confidentiality Agreements”). In addition, you are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Nothing in this Agreement or the Confidentiality Agreements shall prevent you from (i) communicating directly with, cooperating with, or providing information to, or receiving financial awards from, any federal, state or local government agency, including without limitation the U.S. Securities and Exchange Commission, the U.S. Commodity Futures Trading Commission, the U.S. Department of Justice, the U.S. Equal Employment Opportunity Commission, or the U.S. National Labor Relations Board, without notifying or seeking permission from the Company, (ii) exercising any rights you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you have reason to believe is unlawful. In addition, you acknowledge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Protection of Third-Party Information: </w:t>
      </w:r>
      <w:r>
        <w:rPr>
          <w:rFonts w:ascii="Times New Roman" w:cs="Times New Roman" w:eastAsia="Times New Roman" w:hAnsi="Times New Roman"/>
          <w:sz w:val="18"/>
          <w:szCs w:val="18"/>
          <w:color w:val="auto"/>
        </w:rPr>
        <w:t>By signing this Agreement, you are representing that you have full authority to accept this position and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You agree not to make any unauthorized disclosure or use, on behalf of the Company, of any confidential information belonging to any of your former employers. You also represent that you are not in unauthorized possession of any materials containing a third party’s confidential and proprietary information.</w:t>
      </w:r>
    </w:p>
    <w:p>
      <w:pPr>
        <w:sectPr>
          <w:pgSz w:w="11900" w:h="16838" w:orient="portrait"/>
          <w:cols w:equalWidth="0" w:num="1">
            <w:col w:w="11240"/>
          </w:cols>
          <w:pgMar w:left="320" w:top="1130"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During your employment you shall be subject to and covered by a written indemnification agreement between you and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applicable to the Company’s executive officers, which form will be provided to you prior to your start date (the “Indemnification Agreement”).</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Tax Matters; Withholding: </w:t>
      </w:r>
      <w:r>
        <w:rPr>
          <w:rFonts w:ascii="Times New Roman" w:cs="Times New Roman" w:eastAsia="Times New Roman" w:hAnsi="Times New Roman"/>
          <w:sz w:val="18"/>
          <w:szCs w:val="18"/>
          <w:color w:val="auto"/>
        </w:rPr>
        <w:t>All amounts payable to you by the Company will be subject to applicable tax withholding. Section 6(a) of the Severance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of Section 409A”) is hereby incorporated herein by reference (as are any defined terms from the Severance Plan used in such section) (with references to the “Plan” in such section amended to refer to this “Agreement” and references to “Participant” amended to refer to you).</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The validity, interpretation, construction and performance of this Agreement, and all acts and transactions pursuant hereto and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obligations of the parties hereto shall be governed, construed and interpreted in accordance with the laws of State of Utah, without giving effect to principles of conflicts of law.</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You acknowledge and agree that as of your execution of this Agreement, your sole entitlement to any compensation or benefits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will be as set forth in this Agreement. This Agreement, together with the Confidentiality Agreements, the Indemnification Agreement and the documents governing any equity awards granted to you, sets forth the entire agreement and understanding of the parties relating to the subject matter herein and supersedes all prior or contemporaneous discussions, understandings and agreements, whether oral or written, between you and the Company relating to the subject matter hereof. No amendment or modification to this Agreement shall be effective unless it is in writing and signed by an authorized officer of the Company and by you.</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when so executed and delivered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which together shall constitute one and the same agreement. Facsimile and electronic image signatures (including .pdf or any electronic signature complying with the U.S. federal ESIGN Act of 2000, Uniform Electronic Transactions Act or other applicable law) will be deemed an original and valid signature.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sign below and return this Agreement via Adobe Sign. If you have any questions, please contact me. We look forward to working with you.</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Sincerely,</w:t>
            </w: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50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ROB CARPENTER</w:t>
            </w:r>
          </w:p>
        </w:tc>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ADRIANNE LEE</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2/20/2024</w:t>
            </w:r>
          </w:p>
        </w:tc>
      </w:tr>
      <w:tr>
        <w:trPr>
          <w:trHeight w:val="218"/>
        </w:trPr>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 Carpenter</w:t>
            </w:r>
          </w:p>
        </w:tc>
        <w:tc>
          <w:tcPr>
            <w:tcW w:w="460" w:type="dxa"/>
            <w:vAlign w:val="bottom"/>
          </w:tcPr>
          <w:p>
            <w:pPr>
              <w:spacing w:after="0"/>
              <w:rPr>
                <w:sz w:val="18"/>
                <w:szCs w:val="18"/>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Adrianne Lee</w:t>
            </w:r>
          </w:p>
        </w:tc>
        <w:tc>
          <w:tcPr>
            <w:tcW w:w="440" w:type="dxa"/>
            <w:vAlign w:val="bottom"/>
          </w:tcPr>
          <w:p>
            <w:pPr>
              <w:spacing w:after="0"/>
              <w:rPr>
                <w:sz w:val="18"/>
                <w:szCs w:val="18"/>
                <w:color w:val="auto"/>
              </w:rPr>
            </w:pPr>
          </w:p>
        </w:tc>
        <w:tc>
          <w:tcPr>
            <w:tcW w:w="3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c>
          <w:tcPr>
            <w:tcW w:w="3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tcPr>
          <w:p>
            <w:pPr>
              <w:spacing w:after="0"/>
              <w:rPr>
                <w:sz w:val="20"/>
                <w:szCs w:val="20"/>
                <w:color w:val="auto"/>
              </w:rPr>
            </w:pPr>
          </w:p>
        </w:tc>
      </w:tr>
    </w:tbl>
    <w:p>
      <w:pPr>
        <w:spacing w:after="0" w:line="3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CONFIDENTIAL – PROPERTY OF BEYOND, INC. </w:t>
      </w:r>
      <w:r>
        <w:rPr>
          <w:rFonts w:ascii="Times New Roman" w:cs="Times New Roman" w:eastAsia="Times New Roman" w:hAnsi="Times New Roman"/>
          <w:sz w:val="18"/>
          <w:szCs w:val="18"/>
          <w:color w:val="auto"/>
        </w:rPr>
        <w:t>the existence and terms of this Agreement and all related communications are confidential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intended only for your personal and family consideration.</w:t>
      </w:r>
    </w:p>
    <w:p>
      <w:pPr>
        <w:sectPr>
          <w:pgSz w:w="11900" w:h="16838" w:orient="portrait"/>
          <w:cols w:equalWidth="0" w:num="1">
            <w:col w:w="11240"/>
          </w:cols>
          <w:pgMar w:left="320" w:top="887" w:right="339" w:bottom="1440" w:gutter="0" w:footer="0" w:header="0"/>
        </w:sectPr>
      </w:pPr>
    </w:p>
    <w:bookmarkStart w:id="48" w:name="page49"/>
    <w:bookmarkEnd w:id="48"/>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61616"/>
        </w:rPr>
        <w:t>BEYOND,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61616"/>
        </w:rPr>
        <w:t>PERFORMANCE SHARE AWARD GRANT NOTICE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61616"/>
        </w:rPr>
        <w:t>(2005 Equity Incentive Plan)</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161616"/>
        </w:rPr>
        <w:t>Beyond, Inc. (the "Company"), pursuant to its Amended and Restated 2005 Equity Incentive Plan, as may be amended and/or restated from time to time (the "Plan"), hereby grants to the participant under the Plan (the "Participant") performance shares ("PSUs") constituting the right to acquire the number of shares of the Company's common stock (the "Common Stock" or “BYON”) set forth below (the "Award"). This Award is subject to all of the terms and conditions as set forth in this Performance Share Award Grant Notice (the "Grant Notice"), the Performance Share Award Agreement attached hereto (the “Award Agreement”), and the Plan, a copy of which has previously been furnished to the Participant, all of which are incorporated herein in their entirety.</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46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Participant:</w:t>
            </w:r>
          </w:p>
        </w:tc>
        <w:tc>
          <w:tcPr>
            <w:tcW w:w="68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Grant:</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Number of PSUs Awarded to Participant:</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161616"/>
              </w:rPr>
              <w:t>Award: Purchase Price per Share:</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$0.0001</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161616"/>
              </w:rPr>
              <w:t>Total Purchase Price:</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4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161616"/>
              </w:rPr>
              <w:t>Vesting Schedule:</w:t>
            </w: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See Exhibit A attached to the Award Agreement.</w:t>
            </w:r>
          </w:p>
        </w:tc>
      </w:tr>
      <w:tr>
        <w:trPr>
          <w:trHeight w:val="22"/>
        </w:trPr>
        <w:tc>
          <w:tcPr>
            <w:tcW w:w="44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8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46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161616"/>
              </w:rPr>
              <w:t>Payment:</w:t>
            </w:r>
          </w:p>
        </w:tc>
        <w:tc>
          <w:tcPr>
            <w:tcW w:w="680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As described in the Award Agreement, the par value for the shares must be paid in cash, by</w:t>
            </w:r>
          </w:p>
        </w:tc>
      </w:tr>
      <w:tr>
        <w:trPr>
          <w:trHeight w:val="234"/>
        </w:trPr>
        <w:tc>
          <w:tcPr>
            <w:tcW w:w="4460" w:type="dxa"/>
            <w:vAlign w:val="bottom"/>
            <w:tcBorders>
              <w:left w:val="single" w:sz="8" w:color="auto"/>
              <w:right w:val="single" w:sz="8" w:color="auto"/>
            </w:tcBorders>
          </w:tcPr>
          <w:p>
            <w:pPr>
              <w:spacing w:after="0"/>
              <w:rPr>
                <w:sz w:val="20"/>
                <w:szCs w:val="20"/>
                <w:color w:val="auto"/>
              </w:rPr>
            </w:pPr>
          </w:p>
        </w:tc>
        <w:tc>
          <w:tcPr>
            <w:tcW w:w="68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check or as consideration for past services to the Company.</w:t>
            </w:r>
          </w:p>
        </w:tc>
      </w:tr>
      <w:tr>
        <w:trPr>
          <w:trHeight w:val="27"/>
        </w:trPr>
        <w:tc>
          <w:tcPr>
            <w:tcW w:w="4460" w:type="dxa"/>
            <w:vAlign w:val="bottom"/>
            <w:tcBorders>
              <w:left w:val="single" w:sz="8" w:color="auto"/>
              <w:bottom w:val="single" w:sz="8" w:color="auto"/>
              <w:right w:val="single" w:sz="8" w:color="auto"/>
            </w:tcBorders>
          </w:tcPr>
          <w:p>
            <w:pPr>
              <w:spacing w:after="0"/>
              <w:rPr>
                <w:sz w:val="2"/>
                <w:szCs w:val="2"/>
                <w:color w:val="auto"/>
              </w:rPr>
            </w:pPr>
          </w:p>
        </w:tc>
        <w:tc>
          <w:tcPr>
            <w:tcW w:w="6800" w:type="dxa"/>
            <w:vAlign w:val="bottom"/>
            <w:tcBorders>
              <w:bottom w:val="single" w:sz="8" w:color="auto"/>
              <w:right w:val="single" w:sz="8" w:color="auto"/>
            </w:tcBorders>
          </w:tcPr>
          <w:p>
            <w:pPr>
              <w:spacing w:after="0"/>
              <w:rPr>
                <w:sz w:val="2"/>
                <w:szCs w:val="2"/>
                <w:color w:val="auto"/>
              </w:rPr>
            </w:pPr>
          </w:p>
        </w:tc>
      </w:tr>
    </w:tbl>
    <w:p>
      <w:pPr>
        <w:spacing w:after="0" w:line="3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2F2F2F"/>
        </w:rPr>
        <w:t xml:space="preserve">Additional </w:t>
      </w:r>
      <w:r>
        <w:rPr>
          <w:rFonts w:ascii="Times New Roman" w:cs="Times New Roman" w:eastAsia="Times New Roman" w:hAnsi="Times New Roman"/>
          <w:sz w:val="18"/>
          <w:szCs w:val="18"/>
          <w:i w:val="1"/>
          <w:iCs w:val="1"/>
          <w:color w:val="161616"/>
        </w:rPr>
        <w:t>Terms/Acknowledgements:</w:t>
      </w:r>
      <w:r>
        <w:rPr>
          <w:rFonts w:ascii="Times New Roman" w:cs="Times New Roman" w:eastAsia="Times New Roman" w:hAnsi="Times New Roman"/>
          <w:sz w:val="18"/>
          <w:szCs w:val="18"/>
          <w:i w:val="1"/>
          <w:iCs w:val="1"/>
          <w:color w:val="2F2F2F"/>
        </w:rPr>
        <w:t xml:space="preserve"> </w:t>
      </w:r>
      <w:r>
        <w:rPr>
          <w:rFonts w:ascii="Times New Roman" w:cs="Times New Roman" w:eastAsia="Times New Roman" w:hAnsi="Times New Roman"/>
          <w:sz w:val="18"/>
          <w:szCs w:val="18"/>
          <w:color w:val="161616"/>
        </w:rPr>
        <w:t>The undersigned Participant acknowledges receipt of, and understands and agrees to the terms and conditions of this</w:t>
      </w:r>
      <w:r>
        <w:rPr>
          <w:rFonts w:ascii="Times New Roman" w:cs="Times New Roman" w:eastAsia="Times New Roman" w:hAnsi="Times New Roman"/>
          <w:sz w:val="18"/>
          <w:szCs w:val="18"/>
          <w:i w:val="1"/>
          <w:iCs w:val="1"/>
          <w:color w:val="2F2F2F"/>
        </w:rPr>
        <w:t xml:space="preserve"> </w:t>
      </w:r>
      <w:r>
        <w:rPr>
          <w:rFonts w:ascii="Times New Roman" w:cs="Times New Roman" w:eastAsia="Times New Roman" w:hAnsi="Times New Roman"/>
          <w:sz w:val="18"/>
          <w:szCs w:val="18"/>
          <w:color w:val="161616"/>
        </w:rPr>
        <w:t>Grant Notice, Award Agreement, and the Plan, and agrees that his or her signature of this Grant Notice shall also be deemed his or her signature of the attached Award Agreement. Participant further acknowledges that as of the Date of Grant, this Grant Notice, the Award Agreement and the Plan set forth the entire understanding between Participant and the Company regarding the matters addressed herein and therein and supersede all prior oral and written agreements relating thereto, with the exception of any other awards previously granted and delivered to Participant under the Plan.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Beyond, Inc.</w:t>
            </w:r>
          </w:p>
        </w:tc>
        <w:tc>
          <w:tcPr>
            <w:tcW w:w="440" w:type="dxa"/>
            <w:vAlign w:val="bottom"/>
          </w:tcPr>
          <w:p>
            <w:pPr>
              <w:spacing w:after="0"/>
              <w:rPr>
                <w:sz w:val="20"/>
                <w:szCs w:val="20"/>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Participant</w:t>
            </w:r>
          </w:p>
        </w:tc>
      </w:tr>
      <w:tr>
        <w:trPr>
          <w:trHeight w:val="500"/>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Print Name:</w:t>
            </w:r>
          </w:p>
        </w:tc>
      </w:tr>
      <w:tr>
        <w:trPr>
          <w:trHeight w:val="480"/>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0" w:type="dxa"/>
            <w:vAlign w:val="bottom"/>
            <w:tcBorders>
              <w:top w:val="single" w:sz="8" w:color="auto"/>
            </w:tcBorders>
          </w:tcPr>
          <w:p>
            <w:pPr>
              <w:spacing w:after="0"/>
              <w:rPr>
                <w:sz w:val="24"/>
                <w:szCs w:val="24"/>
                <w:color w:val="auto"/>
              </w:rPr>
            </w:pPr>
          </w:p>
        </w:tc>
      </w:tr>
      <w:tr>
        <w:trPr>
          <w:trHeight w:val="540"/>
        </w:trPr>
        <w:tc>
          <w:tcPr>
            <w:tcW w:w="5380" w:type="dxa"/>
            <w:vAlign w:val="bottom"/>
            <w:tcBorders>
              <w:bottom w:val="single" w:sz="8" w:color="auto"/>
            </w:tcBorders>
            <w:gridSpan w:val="2"/>
          </w:tcPr>
          <w:p>
            <w:pPr>
              <w:spacing w:after="0"/>
              <w:rPr>
                <w:sz w:val="24"/>
                <w:szCs w:val="24"/>
                <w:color w:val="auto"/>
              </w:rPr>
            </w:pPr>
          </w:p>
        </w:tc>
        <w:tc>
          <w:tcPr>
            <w:tcW w:w="440" w:type="dxa"/>
            <w:vAlign w:val="bottom"/>
          </w:tcPr>
          <w:p>
            <w:pPr>
              <w:spacing w:after="0"/>
              <w:rPr>
                <w:sz w:val="24"/>
                <w:szCs w:val="24"/>
                <w:color w:val="auto"/>
              </w:rPr>
            </w:pPr>
          </w:p>
        </w:tc>
        <w:tc>
          <w:tcPr>
            <w:tcW w:w="5400" w:type="dxa"/>
            <w:vAlign w:val="bottom"/>
            <w:tcBorders>
              <w:bottom w:val="single" w:sz="8" w:color="auto"/>
            </w:tcBorders>
            <w:gridSpan w:val="2"/>
          </w:tcPr>
          <w:p>
            <w:pPr>
              <w:spacing w:after="0"/>
              <w:rPr>
                <w:sz w:val="24"/>
                <w:szCs w:val="24"/>
                <w:color w:val="auto"/>
              </w:rPr>
            </w:pPr>
          </w:p>
        </w:tc>
      </w:tr>
      <w:tr>
        <w:trPr>
          <w:trHeight w:val="228"/>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w:t>
            </w:r>
          </w:p>
        </w:tc>
        <w:tc>
          <w:tcPr>
            <w:tcW w:w="440" w:type="dxa"/>
            <w:vAlign w:val="bottom"/>
          </w:tcPr>
          <w:p>
            <w:pPr>
              <w:spacing w:after="0"/>
              <w:rPr>
                <w:sz w:val="19"/>
                <w:szCs w:val="19"/>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Signature</w:t>
            </w:r>
          </w:p>
        </w:tc>
      </w:tr>
      <w:tr>
        <w:trPr>
          <w:trHeight w:val="495"/>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8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87" w:right="31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161616"/>
        </w:rPr>
        <w:t>BEYOND,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61616"/>
        </w:rPr>
        <w:t>PERFORMANCE SHARE AWARD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61616"/>
        </w:rPr>
        <w:t>(2005 Equity Incentive Plan)</w:t>
      </w:r>
    </w:p>
    <w:p>
      <w:pPr>
        <w:spacing w:after="0" w:line="232" w:lineRule="exact"/>
        <w:rPr>
          <w:sz w:val="20"/>
          <w:szCs w:val="20"/>
          <w:color w:val="auto"/>
        </w:rPr>
      </w:pPr>
    </w:p>
    <w:p>
      <w:pPr>
        <w:jc w:val="both"/>
        <w:ind w:firstLine="656"/>
        <w:spacing w:after="0" w:line="258" w:lineRule="auto"/>
        <w:tabs>
          <w:tab w:leader="none" w:pos="828"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Grant</w:t>
      </w:r>
      <w:r>
        <w:rPr>
          <w:rFonts w:ascii="Times New Roman" w:cs="Times New Roman" w:eastAsia="Times New Roman" w:hAnsi="Times New Roman"/>
          <w:sz w:val="18"/>
          <w:szCs w:val="18"/>
          <w:color w:val="161616"/>
        </w:rPr>
        <w:t>. The Company hereby grants to the Participant named in the Performance Share Notice attached hereto an award of Performance Shares</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("PSUs"), as set forth in the Performance Share Award Grant Notice and subject to the terms and conditions in this Agreement and the Company's 2005 Equity Incentive Plan (the "Plan"). When the Shares are issued pursuant to PSUs which vest in accordance with the terms hereof, the par value per Share will be deemed paid by the Participant as a result of services rendered by the Participant prior to the applicable vesting date. Terms used but not defined herein have the meanings given them in the Plan.</w:t>
      </w:r>
    </w:p>
    <w:p>
      <w:pPr>
        <w:spacing w:after="0" w:line="210" w:lineRule="exact"/>
        <w:rPr>
          <w:rFonts w:ascii="Times New Roman" w:cs="Times New Roman" w:eastAsia="Times New Roman" w:hAnsi="Times New Roman"/>
          <w:sz w:val="18"/>
          <w:szCs w:val="18"/>
          <w:color w:val="161616"/>
        </w:rPr>
      </w:pPr>
    </w:p>
    <w:p>
      <w:pPr>
        <w:jc w:val="both"/>
        <w:ind w:firstLine="656"/>
        <w:spacing w:after="0" w:line="267" w:lineRule="auto"/>
        <w:tabs>
          <w:tab w:leader="none" w:pos="828"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Company's Obligation</w:t>
      </w:r>
      <w:r>
        <w:rPr>
          <w:rFonts w:ascii="Times New Roman" w:cs="Times New Roman" w:eastAsia="Times New Roman" w:hAnsi="Times New Roman"/>
          <w:sz w:val="18"/>
          <w:szCs w:val="18"/>
          <w:color w:val="161616"/>
        </w:rPr>
        <w:t>. Each PSU represents the right to receive one Share on the vesting date of that PSU. Unless and until the PSUs vest, the</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Participant will have no right to receive any Shares under such PSUs. Prior to actual distribution of Shares pursuant to any vested PSUs, such PSUs will represent an unsecured obligation of the Company, payable (if at all) only from the general assets of the Company.</w:t>
      </w:r>
    </w:p>
    <w:p>
      <w:pPr>
        <w:spacing w:after="0" w:line="200" w:lineRule="exact"/>
        <w:rPr>
          <w:rFonts w:ascii="Times New Roman" w:cs="Times New Roman" w:eastAsia="Times New Roman" w:hAnsi="Times New Roman"/>
          <w:sz w:val="18"/>
          <w:szCs w:val="18"/>
          <w:color w:val="161616"/>
        </w:rPr>
      </w:pPr>
    </w:p>
    <w:p>
      <w:pPr>
        <w:ind w:firstLine="656"/>
        <w:spacing w:after="0" w:line="284" w:lineRule="auto"/>
        <w:tabs>
          <w:tab w:leader="none" w:pos="841"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Vesting Schedule</w:t>
      </w:r>
      <w:r>
        <w:rPr>
          <w:rFonts w:ascii="Times New Roman" w:cs="Times New Roman" w:eastAsia="Times New Roman" w:hAnsi="Times New Roman"/>
          <w:sz w:val="18"/>
          <w:szCs w:val="18"/>
          <w:color w:val="161616"/>
        </w:rPr>
        <w:t>. Subject to paragraph 4, the Participant will vest in the PSUs awarded by this Agreement according to the vesting schedule</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specified in Exhibit A attached hereto.</w:t>
      </w:r>
    </w:p>
    <w:p>
      <w:pPr>
        <w:spacing w:after="0" w:line="185" w:lineRule="exact"/>
        <w:rPr>
          <w:rFonts w:ascii="Times New Roman" w:cs="Times New Roman" w:eastAsia="Times New Roman" w:hAnsi="Times New Roman"/>
          <w:sz w:val="18"/>
          <w:szCs w:val="18"/>
          <w:color w:val="161616"/>
        </w:rPr>
      </w:pPr>
    </w:p>
    <w:p>
      <w:pPr>
        <w:ind w:right="260" w:firstLine="656"/>
        <w:spacing w:after="0" w:line="284" w:lineRule="auto"/>
        <w:tabs>
          <w:tab w:leader="none" w:pos="828"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Administrator Discretion</w:t>
      </w:r>
      <w:r>
        <w:rPr>
          <w:rFonts w:ascii="Times New Roman" w:cs="Times New Roman" w:eastAsia="Times New Roman" w:hAnsi="Times New Roman"/>
          <w:sz w:val="18"/>
          <w:szCs w:val="18"/>
          <w:color w:val="161616"/>
        </w:rPr>
        <w:t>. The Administrator, in its discretion, may accelerate the vesting of any or all of the PSUs at any time, subject to the</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terms of the Plan. If so accelerated, such PSUs will be considered as having vested as of the date specified by the Administrator.</w:t>
      </w:r>
    </w:p>
    <w:p>
      <w:pPr>
        <w:spacing w:after="0" w:line="185" w:lineRule="exact"/>
        <w:rPr>
          <w:rFonts w:ascii="Times New Roman" w:cs="Times New Roman" w:eastAsia="Times New Roman" w:hAnsi="Times New Roman"/>
          <w:sz w:val="18"/>
          <w:szCs w:val="18"/>
          <w:color w:val="161616"/>
        </w:rPr>
      </w:pPr>
    </w:p>
    <w:p>
      <w:pPr>
        <w:jc w:val="both"/>
        <w:ind w:firstLine="656"/>
        <w:spacing w:after="0" w:line="267" w:lineRule="auto"/>
        <w:tabs>
          <w:tab w:leader="none" w:pos="855"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Forfeiture upon Termination as Service Provider</w:t>
      </w:r>
      <w:r>
        <w:rPr>
          <w:rFonts w:ascii="Times New Roman" w:cs="Times New Roman" w:eastAsia="Times New Roman" w:hAnsi="Times New Roman"/>
          <w:sz w:val="18"/>
          <w:szCs w:val="18"/>
          <w:color w:val="161616"/>
        </w:rPr>
        <w:t>. Except as otherwise determined by the Administrator or set forth in Exhibit A to this</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Agreement, if the status of the Participant as a Service Provider is terminated for any reason or no reason prior to vesting, the unvested PSUs awarded by this Agreement will thereupon terminate and be forfeited at no cost to the Company and without any payment to the Participant.</w:t>
      </w:r>
    </w:p>
    <w:p>
      <w:pPr>
        <w:spacing w:after="0" w:line="200" w:lineRule="exact"/>
        <w:rPr>
          <w:rFonts w:ascii="Times New Roman" w:cs="Times New Roman" w:eastAsia="Times New Roman" w:hAnsi="Times New Roman"/>
          <w:sz w:val="18"/>
          <w:szCs w:val="18"/>
          <w:color w:val="161616"/>
        </w:rPr>
      </w:pPr>
    </w:p>
    <w:p>
      <w:pPr>
        <w:jc w:val="both"/>
        <w:ind w:firstLine="656"/>
        <w:spacing w:after="0" w:line="257" w:lineRule="auto"/>
        <w:tabs>
          <w:tab w:leader="none" w:pos="841"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Payment upon Vesting</w:t>
      </w:r>
      <w:r>
        <w:rPr>
          <w:rFonts w:ascii="Times New Roman" w:cs="Times New Roman" w:eastAsia="Times New Roman" w:hAnsi="Times New Roman"/>
          <w:sz w:val="18"/>
          <w:szCs w:val="18"/>
          <w:color w:val="161616"/>
        </w:rPr>
        <w:t>. Any PSUs that vest will be paid to the Participant (or in the event of the Participant's death, to his or her estate or</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designated beneficiaries) in Shares within ten (10) days following on the date those PSUs vest in accordance with the vesting schedule set forth in the Performance Share Award Grant Notice or as soon thereafter as practicable, subject to the tax withholding provisions of paragraph 8. For each PSU that vests, the Participant will receive one Share. In no event shall the Shares be issued later than the fifteenth (15th) day of the third (3rd) calendar month following the calendar year in which such PSUs vest. Notwithstanding anything herein to the contrary, the Participant shall not be permitted, directly or indirectly, to designate the taxable year in which the Shares shall be issued.</w:t>
      </w:r>
    </w:p>
    <w:p>
      <w:pPr>
        <w:spacing w:after="0" w:line="209" w:lineRule="exact"/>
        <w:rPr>
          <w:rFonts w:ascii="Times New Roman" w:cs="Times New Roman" w:eastAsia="Times New Roman" w:hAnsi="Times New Roman"/>
          <w:sz w:val="18"/>
          <w:szCs w:val="18"/>
          <w:color w:val="161616"/>
        </w:rPr>
      </w:pPr>
    </w:p>
    <w:p>
      <w:pPr>
        <w:jc w:val="both"/>
        <w:ind w:firstLine="656"/>
        <w:spacing w:after="0" w:line="257" w:lineRule="auto"/>
        <w:tabs>
          <w:tab w:leader="none" w:pos="828"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 xml:space="preserve">Payments after Death. </w:t>
      </w:r>
      <w:r>
        <w:rPr>
          <w:rFonts w:ascii="Times New Roman" w:cs="Times New Roman" w:eastAsia="Times New Roman" w:hAnsi="Times New Roman"/>
          <w:sz w:val="18"/>
          <w:szCs w:val="18"/>
          <w:color w:val="161616"/>
        </w:rPr>
        <w:t>Any distribution or delivery of Shares to be made to the Participant in accordance with the provisions of this Agreement</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will, if the Participant is then deceased, be made to the administrator or executor of the Participant's estate or the designated beneficiary or beneficiaries of the PSUs. The Shares shall be issued on the issuance date determined in accordance with the provisions of paragraph 6. Any such administrator, executor or beneficiary must furnish the Company with (a) written notice of his or her status as such and (b) evidence satisfactory to the Company to establish the validity of the transfer and compliance with any laws or regulations pertaining to said transfer. The Participant may make a beneficiary designation with respect to the PSUs by filing the appropriate form with the Administrator or its designate</w:t>
      </w:r>
    </w:p>
    <w:p>
      <w:pPr>
        <w:spacing w:after="0" w:line="209" w:lineRule="exact"/>
        <w:rPr>
          <w:rFonts w:ascii="Times New Roman" w:cs="Times New Roman" w:eastAsia="Times New Roman" w:hAnsi="Times New Roman"/>
          <w:sz w:val="18"/>
          <w:szCs w:val="18"/>
          <w:color w:val="161616"/>
        </w:rPr>
      </w:pPr>
    </w:p>
    <w:p>
      <w:pPr>
        <w:jc w:val="both"/>
        <w:ind w:firstLine="656"/>
        <w:spacing w:after="0" w:line="267" w:lineRule="auto"/>
        <w:tabs>
          <w:tab w:leader="none" w:pos="855"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 xml:space="preserve">Adjustment in Shares. </w:t>
      </w:r>
      <w:r>
        <w:rPr>
          <w:rFonts w:ascii="Times New Roman" w:cs="Times New Roman" w:eastAsia="Times New Roman" w:hAnsi="Times New Roman"/>
          <w:sz w:val="18"/>
          <w:szCs w:val="18"/>
          <w:color w:val="161616"/>
        </w:rPr>
        <w:t>Should any event described in Section 16(a) of the Plan occur, then equitable adjustments shall be made by the</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Administrator to the total number and/or class of securities issuable pursuant to this Award as permitted by the Plan. Such adjustments shall be made in such manner as the Administrator deems appropriate so as to prevent dilution or enlargement of the benefits intended to be made available hereunder.</w:t>
      </w:r>
    </w:p>
    <w:p>
      <w:pPr>
        <w:spacing w:after="0" w:line="200" w:lineRule="exact"/>
        <w:rPr>
          <w:rFonts w:ascii="Times New Roman" w:cs="Times New Roman" w:eastAsia="Times New Roman" w:hAnsi="Times New Roman"/>
          <w:sz w:val="18"/>
          <w:szCs w:val="18"/>
          <w:color w:val="161616"/>
        </w:rPr>
      </w:pPr>
    </w:p>
    <w:p>
      <w:pPr>
        <w:jc w:val="both"/>
        <w:ind w:firstLine="656"/>
        <w:spacing w:after="0" w:line="255" w:lineRule="auto"/>
        <w:tabs>
          <w:tab w:leader="none" w:pos="828" w:val="left"/>
        </w:tabs>
        <w:numPr>
          <w:ilvl w:val="0"/>
          <w:numId w:val="21"/>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Withholding of Taxes</w:t>
      </w:r>
      <w:r>
        <w:rPr>
          <w:rFonts w:ascii="Times New Roman" w:cs="Times New Roman" w:eastAsia="Times New Roman" w:hAnsi="Times New Roman"/>
          <w:sz w:val="18"/>
          <w:szCs w:val="18"/>
          <w:color w:val="161616"/>
        </w:rPr>
        <w:t>. When the Shares are issued as payment for vested PSUs, the Company will withhold a portion of the Shares that have an</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aggregate Fair Market Value sufficient to pay up to the maximum federal, state and local income, employment and any other applicable taxes required to be withheld by the Company, unless the Company, in its sole discretion, either requires or otherwise permits the Participant to make alternate arrangements satisfactory to the Company for such withholdings in advance of the arising of any withholding obligations. The number of Shares withheld pursuant to the prior sentence will be rounded up to the nearest whole Share, with no cash payment due the Participant for the value of any Share withheld in excess of the tax obligation as a result of such rounding. Notwithstanding any contrary provision of this Agreement, no Shares will be issued unless and until satisfactory arrangements (as determined by the Company) have been made by the Participant with respect to the payment of any income and other taxes which the Company determines must be withheld or collected with respect to such Shares. In addition and to the maximum extent permitted by law, the Company (or</w:t>
      </w:r>
    </w:p>
    <w:p>
      <w:pPr>
        <w:sectPr>
          <w:pgSz w:w="11900" w:h="16838" w:orient="portrait"/>
          <w:cols w:equalWidth="0" w:num="1">
            <w:col w:w="11240"/>
          </w:cols>
          <w:pgMar w:left="320" w:top="887" w:right="339" w:bottom="1440" w:gutter="0" w:footer="0" w:header="0"/>
        </w:sectPr>
      </w:pPr>
    </w:p>
    <w:bookmarkStart w:id="50" w:name="page51"/>
    <w:bookmarkEnd w:id="50"/>
    <w:p>
      <w:pPr>
        <w:jc w:val="both"/>
        <w:spacing w:after="0" w:line="261" w:lineRule="auto"/>
        <w:rPr>
          <w:sz w:val="20"/>
          <w:szCs w:val="20"/>
          <w:color w:val="auto"/>
        </w:rPr>
      </w:pPr>
      <w:r>
        <w:rPr>
          <w:rFonts w:ascii="Times New Roman" w:cs="Times New Roman" w:eastAsia="Times New Roman" w:hAnsi="Times New Roman"/>
          <w:sz w:val="18"/>
          <w:szCs w:val="18"/>
          <w:color w:val="161616"/>
        </w:rPr>
        <w:t>the employing Subsidiary) has the right to retain without notice from salary or other amounts payable to the Participant, cash having a sufficient value to satisfy any tax withholding obligations that the Company determines cannot be satisfied through the withholding of otherwise deliverable Shares. All income and other taxes related to the PSU award and any Shares delivered in payment thereof are the sole responsibility of the Participant. By accepting this PSU award, the Participant expressly consents to the withholding of Shares and to any additional cash withholding as provided for in this paragraph 9.</w:t>
      </w:r>
    </w:p>
    <w:p>
      <w:pPr>
        <w:spacing w:after="0" w:line="205" w:lineRule="exact"/>
        <w:rPr>
          <w:sz w:val="20"/>
          <w:szCs w:val="20"/>
          <w:color w:val="auto"/>
        </w:rPr>
      </w:pPr>
    </w:p>
    <w:p>
      <w:pPr>
        <w:jc w:val="both"/>
        <w:ind w:firstLine="656"/>
        <w:spacing w:after="0" w:line="267" w:lineRule="auto"/>
        <w:tabs>
          <w:tab w:leader="none" w:pos="918" w:val="left"/>
        </w:tabs>
        <w:numPr>
          <w:ilvl w:val="0"/>
          <w:numId w:val="22"/>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Rights as Stockholder</w:t>
      </w:r>
      <w:r>
        <w:rPr>
          <w:rFonts w:ascii="Times New Roman" w:cs="Times New Roman" w:eastAsia="Times New Roman" w:hAnsi="Times New Roman"/>
          <w:sz w:val="18"/>
          <w:szCs w:val="18"/>
          <w:color w:val="161616"/>
        </w:rPr>
        <w:t>. Neither the Participant nor any person claiming under or through the Participant will have any of the rights or privileges</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of a stockholder of the Company in respect of any Shares deliverable hereunder unless and until certificates representing such Shares are issued, recorded on the records of the Company or its transfer agents or registrars, and delivered to the Participant or Participant's broker.</w:t>
      </w:r>
    </w:p>
    <w:p>
      <w:pPr>
        <w:spacing w:after="0" w:line="200" w:lineRule="exact"/>
        <w:rPr>
          <w:rFonts w:ascii="Times New Roman" w:cs="Times New Roman" w:eastAsia="Times New Roman" w:hAnsi="Times New Roman"/>
          <w:sz w:val="18"/>
          <w:szCs w:val="18"/>
          <w:color w:val="161616"/>
        </w:rPr>
      </w:pPr>
    </w:p>
    <w:p>
      <w:pPr>
        <w:jc w:val="both"/>
        <w:ind w:firstLine="656"/>
        <w:spacing w:after="0" w:line="258" w:lineRule="auto"/>
        <w:tabs>
          <w:tab w:leader="none" w:pos="911" w:val="left"/>
        </w:tabs>
        <w:numPr>
          <w:ilvl w:val="0"/>
          <w:numId w:val="22"/>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No Right to Employment</w:t>
      </w:r>
      <w:r>
        <w:rPr>
          <w:rFonts w:ascii="Times New Roman" w:cs="Times New Roman" w:eastAsia="Times New Roman" w:hAnsi="Times New Roman"/>
          <w:sz w:val="18"/>
          <w:szCs w:val="18"/>
          <w:color w:val="161616"/>
        </w:rPr>
        <w:t>. The Participant's employment or other Service Provider status with the Company and its Subsidiaries is on an at-will</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basis only. Accordingly, the terms of the Participant's employment or other Service Provider status with the Company and its Subsidiaries will be determined from time to time by the Company or the Subsidiary employing or retaining the Participant (as the case may be), and the Company or the Subsidiary will have the right, which is hereby expressly reserved, to terminate or change the terms of the employment or service relationship of the Participant at any time for any reason whatsoever, with or without good cause or notice.</w:t>
      </w:r>
    </w:p>
    <w:p>
      <w:pPr>
        <w:spacing w:after="0" w:line="210" w:lineRule="exact"/>
        <w:rPr>
          <w:rFonts w:ascii="Times New Roman" w:cs="Times New Roman" w:eastAsia="Times New Roman" w:hAnsi="Times New Roman"/>
          <w:sz w:val="18"/>
          <w:szCs w:val="18"/>
          <w:color w:val="161616"/>
        </w:rPr>
      </w:pPr>
    </w:p>
    <w:p>
      <w:pPr>
        <w:jc w:val="both"/>
        <w:ind w:firstLine="656"/>
        <w:spacing w:after="0" w:line="261" w:lineRule="auto"/>
        <w:tabs>
          <w:tab w:leader="none" w:pos="918" w:val="left"/>
        </w:tabs>
        <w:numPr>
          <w:ilvl w:val="0"/>
          <w:numId w:val="22"/>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Address for Notices</w:t>
      </w:r>
      <w:r>
        <w:rPr>
          <w:rFonts w:ascii="Times New Roman" w:cs="Times New Roman" w:eastAsia="Times New Roman" w:hAnsi="Times New Roman"/>
          <w:sz w:val="18"/>
          <w:szCs w:val="18"/>
          <w:color w:val="161616"/>
        </w:rPr>
        <w:t>. Any notice to be given to the Company under the terms of this Agreement must be addressed to the Company at 799 West</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Coliseum Way, Midvale, Utah 84047, Attn: Stock Administration, or at such other address as the Company may hereafter designate in writing or electronically. Any notice to be given to Participant shall be addressed to Participant at the address most recently found in the Company’s personnel records.</w:t>
      </w:r>
    </w:p>
    <w:p>
      <w:pPr>
        <w:spacing w:after="0" w:line="206" w:lineRule="exact"/>
        <w:rPr>
          <w:rFonts w:ascii="Times New Roman" w:cs="Times New Roman" w:eastAsia="Times New Roman" w:hAnsi="Times New Roman"/>
          <w:sz w:val="18"/>
          <w:szCs w:val="18"/>
          <w:color w:val="161616"/>
        </w:rPr>
      </w:pPr>
    </w:p>
    <w:p>
      <w:pPr>
        <w:ind w:right="20" w:firstLine="656"/>
        <w:spacing w:after="0" w:line="258" w:lineRule="auto"/>
        <w:tabs>
          <w:tab w:leader="none" w:pos="918" w:val="left"/>
        </w:tabs>
        <w:numPr>
          <w:ilvl w:val="0"/>
          <w:numId w:val="22"/>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Grant Not Transferable</w:t>
      </w:r>
      <w:r>
        <w:rPr>
          <w:rFonts w:ascii="Times New Roman" w:cs="Times New Roman" w:eastAsia="Times New Roman" w:hAnsi="Times New Roman"/>
          <w:sz w:val="18"/>
          <w:szCs w:val="18"/>
          <w:color w:val="161616"/>
        </w:rPr>
        <w:t>. Except to the limited extent provided in paragraph 7, this grant and the rights and privileges conferred hereby shall</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not be transferred, assigned, pledged or hypothecated in any way (whether by operation of law or otherwise) and shall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210" w:lineRule="exact"/>
        <w:rPr>
          <w:rFonts w:ascii="Times New Roman" w:cs="Times New Roman" w:eastAsia="Times New Roman" w:hAnsi="Times New Roman"/>
          <w:sz w:val="18"/>
          <w:szCs w:val="18"/>
          <w:color w:val="161616"/>
        </w:rPr>
      </w:pPr>
    </w:p>
    <w:p>
      <w:pPr>
        <w:jc w:val="both"/>
        <w:ind w:firstLine="656"/>
        <w:spacing w:after="0" w:line="258" w:lineRule="auto"/>
        <w:tabs>
          <w:tab w:leader="none" w:pos="931" w:val="left"/>
        </w:tabs>
        <w:numPr>
          <w:ilvl w:val="0"/>
          <w:numId w:val="22"/>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Restrictions on Sale of Securities</w:t>
      </w:r>
      <w:r>
        <w:rPr>
          <w:rFonts w:ascii="Times New Roman" w:cs="Times New Roman" w:eastAsia="Times New Roman" w:hAnsi="Times New Roman"/>
          <w:sz w:val="18"/>
          <w:szCs w:val="18"/>
          <w:color w:val="161616"/>
        </w:rPr>
        <w:t>. Subject to the provisions of paragraph 16, the Company shall use its reasonable efforts to assure that the</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offering of Shares to be issued in payment of the vested PSUs is registered under the federal securities laws or qualifies for an available exemption from such registration requirements. However, any sale of any Shares by the Participant will be subject to the Company's Insider Trading Policy as amended from time to time and any other policies adopted by the Company relating to the sale of Company Common Stock and any market blackout-period that may be imposed by the Company. Further, the Participant is solely responsible for ensuring that any sale complies with all applicable securities laws.</w:t>
      </w:r>
    </w:p>
    <w:p>
      <w:pPr>
        <w:spacing w:after="0" w:line="210" w:lineRule="exact"/>
        <w:rPr>
          <w:rFonts w:ascii="Times New Roman" w:cs="Times New Roman" w:eastAsia="Times New Roman" w:hAnsi="Times New Roman"/>
          <w:sz w:val="18"/>
          <w:szCs w:val="18"/>
          <w:color w:val="161616"/>
        </w:rPr>
      </w:pPr>
    </w:p>
    <w:p>
      <w:pPr>
        <w:ind w:right="360" w:firstLine="656"/>
        <w:spacing w:after="0" w:line="284" w:lineRule="auto"/>
        <w:tabs>
          <w:tab w:leader="none" w:pos="918" w:val="left"/>
        </w:tabs>
        <w:numPr>
          <w:ilvl w:val="0"/>
          <w:numId w:val="22"/>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Binding Agreement</w:t>
      </w:r>
      <w:r>
        <w:rPr>
          <w:rFonts w:ascii="Times New Roman" w:cs="Times New Roman" w:eastAsia="Times New Roman" w:hAnsi="Times New Roman"/>
          <w:sz w:val="18"/>
          <w:szCs w:val="18"/>
          <w:color w:val="161616"/>
        </w:rPr>
        <w:t>. Subject to the limitation on the transferability of this grant contained herein, this Agreement will be binding upon and</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inure to the benefit of the heirs, legatees, legal representatives, successors and assigns of the parties hereto.</w:t>
      </w:r>
    </w:p>
    <w:p>
      <w:pPr>
        <w:spacing w:after="0" w:line="185" w:lineRule="exact"/>
        <w:rPr>
          <w:rFonts w:ascii="Times New Roman" w:cs="Times New Roman" w:eastAsia="Times New Roman" w:hAnsi="Times New Roman"/>
          <w:sz w:val="18"/>
          <w:szCs w:val="18"/>
          <w:color w:val="161616"/>
        </w:rPr>
      </w:pPr>
    </w:p>
    <w:p>
      <w:pPr>
        <w:jc w:val="both"/>
        <w:ind w:firstLine="656"/>
        <w:spacing w:after="0" w:line="256" w:lineRule="auto"/>
        <w:tabs>
          <w:tab w:leader="none" w:pos="958" w:val="left"/>
        </w:tabs>
        <w:numPr>
          <w:ilvl w:val="0"/>
          <w:numId w:val="22"/>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Additional Conditions to Issuance of Stock</w:t>
      </w:r>
      <w:r>
        <w:rPr>
          <w:rFonts w:ascii="Times New Roman" w:cs="Times New Roman" w:eastAsia="Times New Roman" w:hAnsi="Times New Roman"/>
          <w:sz w:val="18"/>
          <w:szCs w:val="18"/>
          <w:color w:val="161616"/>
        </w:rPr>
        <w:t>. If at any time the Company determines, in its discretion, that the listing, registration or</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qualification of the Shares upon any securities exchange or under any state or federal law, or the consent or approval of any governmental regulatory authority is necessary or desirable as a condition to the issuance of Shares to the Participant (or his or her estate or beneficiary), such issuance will not occur unless and until such listing, registration, qualification, consent or approval have been effected or obtained, free of any conditions not acceptable to the Company. The Company will make all reasonable efforts to meet the requirements of any such state or federal law or securities exchange and to obtain any such consent or approval of any such governmental authority. In no event, however, shall any Shares be issued in contravention of applicable federal and state securities laws or other regulatory requirements.</w:t>
      </w:r>
    </w:p>
    <w:p>
      <w:pPr>
        <w:spacing w:after="0" w:line="209" w:lineRule="exact"/>
        <w:rPr>
          <w:rFonts w:ascii="Times New Roman" w:cs="Times New Roman" w:eastAsia="Times New Roman" w:hAnsi="Times New Roman"/>
          <w:sz w:val="18"/>
          <w:szCs w:val="18"/>
          <w:color w:val="161616"/>
        </w:rPr>
      </w:pPr>
    </w:p>
    <w:p>
      <w:pPr>
        <w:jc w:val="both"/>
        <w:ind w:firstLine="656"/>
        <w:spacing w:after="0" w:line="267" w:lineRule="auto"/>
        <w:tabs>
          <w:tab w:leader="none" w:pos="918" w:val="left"/>
        </w:tabs>
        <w:numPr>
          <w:ilvl w:val="0"/>
          <w:numId w:val="22"/>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Plan Governs</w:t>
      </w:r>
      <w:r>
        <w:rPr>
          <w:rFonts w:ascii="Times New Roman" w:cs="Times New Roman" w:eastAsia="Times New Roman" w:hAnsi="Times New Roman"/>
          <w:sz w:val="18"/>
          <w:szCs w:val="18"/>
          <w:color w:val="161616"/>
        </w:rPr>
        <w:t>. This Agreement and the Performance Share Award Grant Notice are subject to all terms and provisions of the Plan. In the event</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of a conflict between one or more provisions of this Agreement or the Performance Share Award Grant Notice and one or more provisions of the Plan, the provisions of the Plan will govern.</w:t>
      </w:r>
    </w:p>
    <w:p>
      <w:pPr>
        <w:sectPr>
          <w:pgSz w:w="11900" w:h="16838" w:orient="portrait"/>
          <w:cols w:equalWidth="0" w:num="1">
            <w:col w:w="11240"/>
          </w:cols>
          <w:pgMar w:left="320" w:top="891" w:right="339" w:bottom="1440" w:gutter="0" w:footer="0" w:header="0"/>
        </w:sectPr>
      </w:pPr>
    </w:p>
    <w:bookmarkStart w:id="51" w:name="page52"/>
    <w:bookmarkEnd w:id="51"/>
    <w:p>
      <w:pPr>
        <w:jc w:val="both"/>
        <w:ind w:firstLine="656"/>
        <w:spacing w:after="0" w:line="257" w:lineRule="auto"/>
        <w:tabs>
          <w:tab w:leader="none" w:pos="91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Administrator Authority</w:t>
      </w:r>
      <w:r>
        <w:rPr>
          <w:rFonts w:ascii="Times New Roman" w:cs="Times New Roman" w:eastAsia="Times New Roman" w:hAnsi="Times New Roman"/>
          <w:sz w:val="18"/>
          <w:szCs w:val="18"/>
          <w:color w:val="161616"/>
        </w:rPr>
        <w:t>. The Administrator will have the power to interpret the Plan and this Agreement and the Performance Share Award</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Grant Notice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Administrator in good faith will be final and binding upon Participant, the Company and all other persons. No member of the Administrator will be personally liable for any action, determination or interpretation made in good faith with respect to the Plan, the Performance Share Award Grant Notice or this Agreement.</w:t>
      </w:r>
    </w:p>
    <w:p>
      <w:pPr>
        <w:spacing w:after="0" w:line="209" w:lineRule="exact"/>
        <w:rPr>
          <w:rFonts w:ascii="Times New Roman" w:cs="Times New Roman" w:eastAsia="Times New Roman" w:hAnsi="Times New Roman"/>
          <w:sz w:val="18"/>
          <w:szCs w:val="18"/>
          <w:color w:val="161616"/>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Captions</w:t>
      </w:r>
      <w:r>
        <w:rPr>
          <w:rFonts w:ascii="Times New Roman" w:cs="Times New Roman" w:eastAsia="Times New Roman" w:hAnsi="Times New Roman"/>
          <w:sz w:val="18"/>
          <w:szCs w:val="18"/>
          <w:color w:val="161616"/>
        </w:rPr>
        <w:t>. Captions provided herein are for convenience only and are not to serve as a basis for interpretation or construction of this</w:t>
      </w:r>
    </w:p>
    <w:p>
      <w:pPr>
        <w:spacing w:after="0" w:line="29" w:lineRule="exact"/>
        <w:rPr>
          <w:rFonts w:ascii="Times New Roman" w:cs="Times New Roman" w:eastAsia="Times New Roman" w:hAnsi="Times New Roman"/>
          <w:sz w:val="18"/>
          <w:szCs w:val="18"/>
          <w:color w:val="161616"/>
        </w:rPr>
      </w:pPr>
    </w:p>
    <w:p>
      <w:pPr>
        <w:spacing w:after="0"/>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color w:val="161616"/>
        </w:rPr>
        <w:t>Agreement.</w:t>
      </w:r>
    </w:p>
    <w:p>
      <w:pPr>
        <w:spacing w:after="0" w:line="231" w:lineRule="exact"/>
        <w:rPr>
          <w:rFonts w:ascii="Times New Roman" w:cs="Times New Roman" w:eastAsia="Times New Roman" w:hAnsi="Times New Roman"/>
          <w:sz w:val="18"/>
          <w:szCs w:val="18"/>
          <w:color w:val="161616"/>
        </w:rPr>
      </w:pPr>
    </w:p>
    <w:p>
      <w:pPr>
        <w:ind w:firstLine="656"/>
        <w:spacing w:after="0" w:line="284" w:lineRule="auto"/>
        <w:tabs>
          <w:tab w:leader="none" w:pos="91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Agreement Severable</w:t>
      </w:r>
      <w:r>
        <w:rPr>
          <w:rFonts w:ascii="Times New Roman" w:cs="Times New Roman" w:eastAsia="Times New Roman" w:hAnsi="Times New Roman"/>
          <w:sz w:val="18"/>
          <w:szCs w:val="18"/>
          <w:color w:val="161616"/>
        </w:rPr>
        <w:t>. In the event that any provision in this Agreement will be held invalid or unenforceable, such provision will be severable</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from, and such invalidity or unenforceability will not be construed to have any effect on, the remaining provisions of this Agreement.</w:t>
      </w:r>
    </w:p>
    <w:p>
      <w:pPr>
        <w:spacing w:after="0" w:line="185" w:lineRule="exact"/>
        <w:rPr>
          <w:rFonts w:ascii="Times New Roman" w:cs="Times New Roman" w:eastAsia="Times New Roman" w:hAnsi="Times New Roman"/>
          <w:sz w:val="18"/>
          <w:szCs w:val="18"/>
          <w:color w:val="161616"/>
        </w:rPr>
      </w:pPr>
    </w:p>
    <w:p>
      <w:pPr>
        <w:ind w:right="40" w:firstLine="656"/>
        <w:spacing w:after="0" w:line="256" w:lineRule="auto"/>
        <w:tabs>
          <w:tab w:leader="none" w:pos="91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Modifications to the Agreement</w:t>
      </w:r>
      <w:r>
        <w:rPr>
          <w:rFonts w:ascii="Times New Roman" w:cs="Times New Roman" w:eastAsia="Times New Roman" w:hAnsi="Times New Roman"/>
          <w:sz w:val="18"/>
          <w:szCs w:val="18"/>
          <w:color w:val="161616"/>
        </w:rPr>
        <w:t>. This Agreement constitutes the entire understanding of the parties regarding the subjects covered. The</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Participant expressly warrants that he or she is not accepting this Agreement in reliance on any promises, representations, or inducements other than those contained herein. Modifications to this Agreement or the Plan can be made only in an express written contract executed by a duly authorized officer of the Company. Notwithstanding anything to the contrary in the Plan or this Agreement, the Company reserves the right to amend this Agreement as it deems necessary or advisable, in its sole discretion and without the consent of the Participant, to comply with applicable law, including without limitation Section 409A of the Code or to otherwise avoid imposition of any additional tax or income recognition under Section 409A of the Code prior to the actual payment of Shares pursuant to this PSU award.</w:t>
      </w:r>
    </w:p>
    <w:p>
      <w:pPr>
        <w:spacing w:after="0" w:line="209" w:lineRule="exact"/>
        <w:rPr>
          <w:rFonts w:ascii="Times New Roman" w:cs="Times New Roman" w:eastAsia="Times New Roman" w:hAnsi="Times New Roman"/>
          <w:sz w:val="18"/>
          <w:szCs w:val="18"/>
          <w:color w:val="161616"/>
        </w:rPr>
      </w:pPr>
    </w:p>
    <w:p>
      <w:pPr>
        <w:jc w:val="both"/>
        <w:ind w:firstLine="656"/>
        <w:spacing w:after="0" w:line="267" w:lineRule="auto"/>
        <w:tabs>
          <w:tab w:leader="none" w:pos="945"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Amendment, Suspension or Termination of the Plan</w:t>
      </w:r>
      <w:r>
        <w:rPr>
          <w:rFonts w:ascii="Times New Roman" w:cs="Times New Roman" w:eastAsia="Times New Roman" w:hAnsi="Times New Roman"/>
          <w:sz w:val="18"/>
          <w:szCs w:val="18"/>
          <w:color w:val="161616"/>
        </w:rPr>
        <w:t>. By accepting this PSU award, the Participant expressly warrants that he or she has</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received a right to purchase stock under the Plan, and has received, read and understood a description of the Plan. The Participant understands that the Plan is discretionary in nature and may be modified, suspended or terminated by the Company at any time.</w:t>
      </w:r>
    </w:p>
    <w:p>
      <w:pPr>
        <w:spacing w:after="0" w:line="200" w:lineRule="exact"/>
        <w:rPr>
          <w:rFonts w:ascii="Times New Roman" w:cs="Times New Roman" w:eastAsia="Times New Roman" w:hAnsi="Times New Roman"/>
          <w:sz w:val="18"/>
          <w:szCs w:val="18"/>
          <w:color w:val="161616"/>
        </w:rPr>
      </w:pPr>
    </w:p>
    <w:p>
      <w:pPr>
        <w:jc w:val="both"/>
        <w:ind w:firstLine="656"/>
        <w:spacing w:after="0" w:line="258" w:lineRule="auto"/>
        <w:tabs>
          <w:tab w:leader="none" w:pos="91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Electronic Delivery</w:t>
      </w:r>
      <w:r>
        <w:rPr>
          <w:rFonts w:ascii="Times New Roman" w:cs="Times New Roman" w:eastAsia="Times New Roman" w:hAnsi="Times New Roman"/>
          <w:sz w:val="18"/>
          <w:szCs w:val="18"/>
          <w:color w:val="161616"/>
        </w:rPr>
        <w:t>. The Company may, in its sole discretion, decide to deliver any notices required or permitted hereunder or under the Plan</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and any documents related to PSUs awarded under the Plan or future PSUs that may be awarded under the Plan by electronic means or request the Participant's consent to participate in the Plan by electronic means. By accepting this PSU award, the Participant hereby consents to receive such documents by electronic delivery and agrees to participate in the Plan through an on-line or electronic system established and maintained by the Company or another third party designated by the Company</w:t>
      </w:r>
    </w:p>
    <w:p>
      <w:pPr>
        <w:spacing w:after="0" w:line="210" w:lineRule="exact"/>
        <w:rPr>
          <w:rFonts w:ascii="Times New Roman" w:cs="Times New Roman" w:eastAsia="Times New Roman" w:hAnsi="Times New Roman"/>
          <w:sz w:val="18"/>
          <w:szCs w:val="18"/>
          <w:color w:val="161616"/>
        </w:rPr>
      </w:pPr>
    </w:p>
    <w:p>
      <w:pPr>
        <w:jc w:val="both"/>
        <w:ind w:firstLine="656"/>
        <w:spacing w:after="0" w:line="267" w:lineRule="auto"/>
        <w:tabs>
          <w:tab w:leader="none" w:pos="931"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Clawback Provisions</w:t>
      </w:r>
      <w:r>
        <w:rPr>
          <w:rFonts w:ascii="Times New Roman" w:cs="Times New Roman" w:eastAsia="Times New Roman" w:hAnsi="Times New Roman"/>
          <w:sz w:val="18"/>
          <w:szCs w:val="18"/>
          <w:color w:val="161616"/>
        </w:rPr>
        <w:t>. This PSU award will be subject to any Company clawback policy, including any clawback policy adopted to comply</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with Applicable Laws (including the Dodd-Frank Wall Street Reform and Consumer Protection Act and any rules, regulations or stock exchange listing requirements promulgated thereunder), as set forth in such clawback policy.</w:t>
      </w:r>
    </w:p>
    <w:p>
      <w:pPr>
        <w:spacing w:after="0" w:line="200" w:lineRule="exact"/>
        <w:rPr>
          <w:rFonts w:ascii="Times New Roman" w:cs="Times New Roman" w:eastAsia="Times New Roman" w:hAnsi="Times New Roman"/>
          <w:sz w:val="18"/>
          <w:szCs w:val="18"/>
          <w:color w:val="161616"/>
        </w:rPr>
      </w:pPr>
    </w:p>
    <w:p>
      <w:pPr>
        <w:ind w:right="20" w:firstLine="656"/>
        <w:spacing w:after="0" w:line="284" w:lineRule="auto"/>
        <w:tabs>
          <w:tab w:leader="none" w:pos="91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Notice of Governing Law</w:t>
      </w:r>
      <w:r>
        <w:rPr>
          <w:rFonts w:ascii="Times New Roman" w:cs="Times New Roman" w:eastAsia="Times New Roman" w:hAnsi="Times New Roman"/>
          <w:sz w:val="18"/>
          <w:szCs w:val="18"/>
          <w:color w:val="161616"/>
        </w:rPr>
        <w:t>. This award shall be governed by, and construed in accordance with, the laws of the State of Utah without regard to</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principles of conflict of laws.</w:t>
      </w:r>
    </w:p>
    <w:p>
      <w:pPr>
        <w:spacing w:after="0" w:line="185" w:lineRule="exact"/>
        <w:rPr>
          <w:rFonts w:ascii="Times New Roman" w:cs="Times New Roman" w:eastAsia="Times New Roman" w:hAnsi="Times New Roman"/>
          <w:sz w:val="18"/>
          <w:szCs w:val="18"/>
          <w:color w:val="161616"/>
        </w:rPr>
      </w:pPr>
    </w:p>
    <w:p>
      <w:pPr>
        <w:jc w:val="both"/>
        <w:ind w:firstLine="656"/>
        <w:spacing w:after="0" w:line="254" w:lineRule="auto"/>
        <w:tabs>
          <w:tab w:leader="none" w:pos="918" w:val="left"/>
        </w:tabs>
        <w:numPr>
          <w:ilvl w:val="0"/>
          <w:numId w:val="23"/>
        </w:numPr>
        <w:rPr>
          <w:rFonts w:ascii="Times New Roman" w:cs="Times New Roman" w:eastAsia="Times New Roman" w:hAnsi="Times New Roman"/>
          <w:sz w:val="18"/>
          <w:szCs w:val="18"/>
          <w:color w:val="161616"/>
        </w:rPr>
      </w:pPr>
      <w:r>
        <w:rPr>
          <w:rFonts w:ascii="Times New Roman" w:cs="Times New Roman" w:eastAsia="Times New Roman" w:hAnsi="Times New Roman"/>
          <w:sz w:val="18"/>
          <w:szCs w:val="18"/>
          <w:i w:val="1"/>
          <w:iCs w:val="1"/>
          <w:color w:val="161616"/>
        </w:rPr>
        <w:t>Section 409A</w:t>
      </w:r>
      <w:r>
        <w:rPr>
          <w:rFonts w:ascii="Times New Roman" w:cs="Times New Roman" w:eastAsia="Times New Roman" w:hAnsi="Times New Roman"/>
          <w:sz w:val="18"/>
          <w:szCs w:val="18"/>
          <w:color w:val="161616"/>
        </w:rPr>
        <w:t>. Payments under this Agreement are intended to be exempt from, or comply with, the provisions of Section 409A of the Internal</w:t>
      </w:r>
      <w:r>
        <w:rPr>
          <w:rFonts w:ascii="Times New Roman" w:cs="Times New Roman" w:eastAsia="Times New Roman" w:hAnsi="Times New Roman"/>
          <w:sz w:val="18"/>
          <w:szCs w:val="18"/>
          <w:i w:val="1"/>
          <w:iCs w:val="1"/>
          <w:color w:val="161616"/>
        </w:rPr>
        <w:t xml:space="preserve"> </w:t>
      </w:r>
      <w:r>
        <w:rPr>
          <w:rFonts w:ascii="Times New Roman" w:cs="Times New Roman" w:eastAsia="Times New Roman" w:hAnsi="Times New Roman"/>
          <w:sz w:val="18"/>
          <w:szCs w:val="18"/>
          <w:color w:val="161616"/>
        </w:rPr>
        <w:t xml:space="preserve">Revenue Code of 1986 ("Section 409A") and this Agreement shall be administered and construed accordingly. If any payment, compensation or other benefit provided to the Participant in connection with his or her employment termination is determined, in whole or in part, to constitute "nonqualified deferred compensation" within the meaning of Section 409A and the Participant is a specified employee as defined in Section 409A(2)(B)(i), no part of such payments shall be paid unless Participant’s termination is also his or her “separation from service” (as defined in Section 409A) and no part of such payments shall be paid before the day that is six (6) months plus one (1) day after the date of Participant’s separation from service (the "New Payment Date"). The aggregate of any payments that otherwise would have been paid to the Participant during the period between the date of termination and the New Payment Date shall be paid to the Participant in a lump sum on such New Payment Date. </w:t>
      </w:r>
      <w:r>
        <w:rPr>
          <w:rFonts w:ascii="Times New Roman" w:cs="Times New Roman" w:eastAsia="Times New Roman" w:hAnsi="Times New Roman"/>
          <w:sz w:val="18"/>
          <w:szCs w:val="18"/>
          <w:color w:val="000000"/>
        </w:rPr>
        <w:t>For purposes of Section 409A, all payments with respect to</w:t>
      </w:r>
      <w:r>
        <w:rPr>
          <w:rFonts w:ascii="Times New Roman" w:cs="Times New Roman" w:eastAsia="Times New Roman" w:hAnsi="Times New Roman"/>
          <w:sz w:val="18"/>
          <w:szCs w:val="18"/>
          <w:color w:val="161616"/>
        </w:rPr>
        <w:t xml:space="preserve"> </w:t>
      </w:r>
      <w:r>
        <w:rPr>
          <w:rFonts w:ascii="Times New Roman" w:cs="Times New Roman" w:eastAsia="Times New Roman" w:hAnsi="Times New Roman"/>
          <w:sz w:val="18"/>
          <w:szCs w:val="18"/>
          <w:color w:val="000000"/>
        </w:rPr>
        <w:t>the PSUs are hereby designated as separate payments from any other payments or benefits to which the Participant is entitled (whether under the Plan, any other agreement, or any non-qualified deferred compensation or arrangement to which the Participant is a party or in which the Participant is a participant).</w:t>
      </w:r>
    </w:p>
    <w:p>
      <w:pPr>
        <w:sectPr>
          <w:pgSz w:w="11900" w:h="16838" w:orient="portrait"/>
          <w:cols w:equalWidth="0" w:num="1">
            <w:col w:w="11240"/>
          </w:cols>
          <w:pgMar w:left="320" w:top="88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18.1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Midvale, Utah</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been furnished with a copy of the quarterly report on Form 10-Q of Beyond, Inc. and subsidiaries (the Company) for the three months ended March 31, 2024, and have read the Company’s statements contained in Note 2 to the condensed consolidated financial statements included therein. As stated in Note 2 to those financial statements, the Company changed its presentation for customer services costs and merchant fees; these costs were previously reported within cost of goods sold and are now reported together as a separate line within operating expenses labeled customer service and merchant fees. The Company states that the change in presentation is preferable in the circumstances because the treatment of these costs as operating expenses are aligned with the changes in business and strategy. In accordance with your request, we have reviewed and discussed with Company officials the circumstances and business judgment and planning upon which the decision to make this change in presentation was based.</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audited any financial statements of the Company as of any date or for any period subsequent to December 31, 2023, nor have we audited the information set forth in the aforementioned Note 2 to the condensed consolidated financial statements; accordingly, we do not express an opinion concerning the factual information contained therein.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regard to the aforementioned change in presentation, authoritative criteria have not been established for evaluating the preferability of one acceptable method of accounting over another acceptable method. However, for purposes of the Company's compliance with the requirements of the Securities and Exchange Commission, we are furnishing this letter.</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our review and discussion, with reliance on management’s business judgment and planning, we concur that the change in presentation is preferable in the Company’s circumstances.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Nielsen, certify that:</w:t>
      </w:r>
    </w:p>
    <w:p>
      <w:pPr>
        <w:spacing w:after="0" w:line="225" w:lineRule="exact"/>
        <w:rPr>
          <w:sz w:val="20"/>
          <w:szCs w:val="20"/>
          <w:color w:val="auto"/>
        </w:rPr>
      </w:pPr>
    </w:p>
    <w:p>
      <w:pPr>
        <w:ind w:left="1060" w:hanging="728"/>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NIELSEN</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Nielsen</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Overstock</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Chandra Holt, certify that:</w:t>
      </w:r>
    </w:p>
    <w:p>
      <w:pPr>
        <w:spacing w:after="0" w:line="225" w:lineRule="exact"/>
        <w:rPr>
          <w:sz w:val="20"/>
          <w:szCs w:val="20"/>
          <w:color w:val="auto"/>
        </w:rPr>
      </w:pPr>
    </w:p>
    <w:p>
      <w:pPr>
        <w:ind w:left="1060" w:hanging="728"/>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CHANDRA HOLT</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Chandra Holt</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Bed Bath &amp; Beyond</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Adrianne B. Lee, certify that:</w:t>
      </w:r>
    </w:p>
    <w:p>
      <w:pPr>
        <w:spacing w:after="0" w:line="225" w:lineRule="exact"/>
        <w:rPr>
          <w:sz w:val="20"/>
          <w:szCs w:val="20"/>
          <w:color w:val="auto"/>
        </w:rPr>
      </w:pPr>
    </w:p>
    <w:p>
      <w:pPr>
        <w:ind w:left="1060" w:hanging="728"/>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Beyond, Inc.;</w:t>
      </w:r>
    </w:p>
    <w:p>
      <w:pPr>
        <w:spacing w:after="0" w:line="225"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10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620" w:hanging="328"/>
        <w:spacing w:after="0" w:line="312" w:lineRule="auto"/>
        <w:tabs>
          <w:tab w:leader="none" w:pos="101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660" w:right="380" w:hanging="328"/>
        <w:spacing w:after="0" w:line="266" w:lineRule="auto"/>
        <w:tabs>
          <w:tab w:leader="none" w:pos="10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6" w:lineRule="auto"/>
        <w:tabs>
          <w:tab w:leader="none" w:pos="12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12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132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12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10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12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128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David J. Nielsen, certify, pursuant to 18 U.S.C. Section 1350, as adopted pursuant to Section 906 of the Sarbanes-Oxley Act of 2002, as amended, that the Quarterly Report on Form 10-Q of Beyond, Inc. for the quarter ended March 31, 2024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J. NIELSEN</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J. Nielsen</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Overstock</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88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 Chandra Holt, certify, pursuant to 18 U.S.C. Section 1350, as adopted pursuant to Section 906 of the Sarbanes-Oxley Act of 2002, as amended, that the Quarterly Report on Form 10-Q of Beyond, Inc. for the quarter ended March 31, 2024 (the "Report") fully complies with the requirements of</w:t>
      </w:r>
    </w:p>
    <w:p>
      <w:pPr>
        <w:ind w:right="320"/>
        <w:spacing w:after="0" w:line="260" w:lineRule="auto"/>
        <w:rPr>
          <w:sz w:val="20"/>
          <w:szCs w:val="20"/>
          <w:color w:val="auto"/>
        </w:rPr>
      </w:pPr>
      <w:r>
        <w:rPr>
          <w:rFonts w:ascii="Times New Roman" w:cs="Times New Roman" w:eastAsia="Times New Roman" w:hAnsi="Times New Roman"/>
          <w:sz w:val="18"/>
          <w:szCs w:val="18"/>
          <w:color w:val="auto"/>
        </w:rPr>
        <w:t>Section 13(a) or 15(d) of the Securities Exchange Act of 1934, as amended, and that information contained in such Report fairly presents in all material respects the financial condition and results of operations of Beyond, Inc.</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CHANDRA HOLT</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Chandra Holt</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 Chief Executive Officer, Bed Bath &amp; Beyond</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(Co-Principal Executive Officer)</w:t>
            </w:r>
          </w:p>
        </w:tc>
      </w:tr>
    </w:tbl>
    <w:p>
      <w:pPr>
        <w:sectPr>
          <w:pgSz w:w="11900" w:h="16838" w:orient="portrait"/>
          <w:cols w:equalWidth="0" w:num="1">
            <w:col w:w="11240"/>
          </w:cols>
          <w:pgMar w:left="320" w:top="88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 Adrianne B. Lee, certify, pursuant to 18 U.S.C. Section 1350, as adopted pursuant to Section 906 of the Sarbanes-Oxley Act of 2002, as amended, that the Quarterly Report on Form 10-Q of Beyond, Inc. for the quarter ended March 31, 2024 (the "Report") fully complies with the requirements of Section 13(a) or 15(d) of the Securities Exchange Act of 1934, as amended, and that information contained in such Report fairly presents in all material respects the financial condition and results of operations of Beyond, Inc.</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2024</w:t>
            </w:r>
          </w:p>
        </w:tc>
        <w:tc>
          <w:tcPr>
            <w:tcW w:w="5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ADRIANNE B. LEE</w:t>
            </w:r>
          </w:p>
        </w:tc>
      </w:tr>
      <w:tr>
        <w:trPr>
          <w:trHeight w:val="218"/>
        </w:trPr>
        <w:tc>
          <w:tcPr>
            <w:tcW w:w="5260" w:type="dxa"/>
            <w:vAlign w:val="bottom"/>
          </w:tcPr>
          <w:p>
            <w:pPr>
              <w:spacing w:after="0"/>
              <w:rPr>
                <w:sz w:val="18"/>
                <w:szCs w:val="18"/>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Adrianne B. Lee</w:t>
            </w:r>
          </w:p>
        </w:tc>
      </w:tr>
      <w:tr>
        <w:trPr>
          <w:trHeight w:val="229"/>
        </w:trPr>
        <w:tc>
          <w:tcPr>
            <w:tcW w:w="526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&amp; Administrative Officer</w:t>
            </w:r>
          </w:p>
        </w:tc>
      </w:tr>
      <w:tr>
        <w:trPr>
          <w:trHeight w:val="234"/>
        </w:trPr>
        <w:tc>
          <w:tcPr>
            <w:tcW w:w="52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lvl w:ilvl="1">
      <w:lvlJc w:val="left"/>
      <w:lvlText w:val="(%2)"/>
      <w:numFmt w:val="decimal"/>
      <w:start w:val="1"/>
    </w:lvl>
  </w:abstractNum>
  <w:abstractNum w:abstractNumId="6">
    <w:nsid w:val="4E6AFB66"/>
    <w:multiLevelType w:val="hybridMultilevel"/>
    <w:lvl w:ilvl="0">
      <w:lvlJc w:val="left"/>
      <w:lvlText w:val="%1."/>
      <w:numFmt w:val="decimal"/>
      <w:start w:val="7"/>
    </w:lvl>
    <w:lvl w:ilvl="1">
      <w:lvlJc w:val="left"/>
      <w:lvlText w:val="%2"/>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740"/>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lowerLetter"/>
      <w:start w:val="1"/>
    </w:lvl>
  </w:abstractNum>
  <w:abstractNum w:abstractNumId="11">
    <w:nsid w:val="7C83E458"/>
    <w:multiLevelType w:val="hybridMultilevel"/>
    <w:lvl w:ilvl="0">
      <w:lvlJc w:val="left"/>
      <w:lvlText w:val="%1"/>
      <w:numFmt w:val="decimal"/>
      <w:start w:val="104"/>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endash "/>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endash "/>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endash "/>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0"/>
    </w:lvl>
  </w:abstractNum>
  <w:abstractNum w:abstractNumId="22">
    <w:nsid w:val="8EDBDAB"/>
    <w:multiLevelType w:val="hybridMultilevel"/>
    <w:lvl w:ilvl="0">
      <w:lvlJc w:val="left"/>
      <w:lvlText w:val="%1."/>
      <w:numFmt w:val="decimal"/>
      <w:start w:val="18"/>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46" Type="http://schemas.openxmlformats.org/officeDocument/2006/relationships/hyperlink" Target="https://www.sec.gov/Archives/edgar/data/1130713/000114036123029505/brhc20054372_ex2-1.htm" TargetMode="External"/><Relationship Id="rId47" Type="http://schemas.openxmlformats.org/officeDocument/2006/relationships/hyperlink" Target="https://www.sec.gov/Archives/edgar/data/1130713/000113071314000051/ex-31certificateofincorpor.htm" TargetMode="External"/><Relationship Id="rId48" Type="http://schemas.openxmlformats.org/officeDocument/2006/relationships/hyperlink" Target="https://www.sec.gov/Archives/edgar/data/1130713/000114036123051490/ef20013966_ex3-2.htm" TargetMode="External"/><Relationship Id="rId49" Type="http://schemas.openxmlformats.org/officeDocument/2006/relationships/hyperlink" Target="https://www.sec.gov/Archives/edgar/data/1130713/000114036123051490/ef20013966_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2024-05-08T05:29:09Z</dcterms:created>
  <dcterms:modified xsi:type="dcterms:W3CDTF">2024-05-08T05:29:09Z</dcterms:modified>
</cp:coreProperties>
</file>