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637540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594995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11" w:lineRule="exact"/>
        <w:rPr>
          <w:sz w:val="24"/>
          <w:szCs w:val="24"/>
          <w:color w:val="auto"/>
        </w:rPr>
      </w:pPr>
    </w:p>
    <w:p>
      <w:pPr>
        <w:ind w:left="940" w:right="160" w:hanging="568"/>
        <w:spacing w:after="0" w:line="238" w:lineRule="auto"/>
        <w:tabs>
          <w:tab w:leader="none" w:pos="9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94"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6"/>
          <w:szCs w:val="16"/>
          <w:b w:val="1"/>
          <w:bCs w:val="1"/>
          <w:color w:val="auto"/>
        </w:rPr>
        <w:t>For the quarterly period ended September 30, 2024</w:t>
      </w:r>
    </w:p>
    <w:p>
      <w:pPr>
        <w:spacing w:after="0" w:line="100" w:lineRule="exact"/>
        <w:rPr>
          <w:sz w:val="24"/>
          <w:szCs w:val="24"/>
          <w:color w:val="auto"/>
        </w:rPr>
      </w:pPr>
    </w:p>
    <w:p>
      <w:pPr>
        <w:ind w:left="550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24" w:lineRule="exact"/>
        <w:rPr>
          <w:sz w:val="24"/>
          <w:szCs w:val="24"/>
          <w:color w:val="auto"/>
        </w:rPr>
      </w:pPr>
    </w:p>
    <w:p>
      <w:pPr>
        <w:ind w:left="940" w:right="140" w:hanging="568"/>
        <w:spacing w:after="0" w:line="238" w:lineRule="auto"/>
        <w:tabs>
          <w:tab w:leader="none" w:pos="9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81" w:lineRule="exact"/>
        <w:rPr>
          <w:sz w:val="24"/>
          <w:szCs w:val="24"/>
          <w:color w:val="auto"/>
        </w:rPr>
      </w:pPr>
    </w:p>
    <w:tbl>
      <w:tblPr>
        <w:tblLayout w:type="fixed"/>
        <w:tblInd w:w="40" w:type="dxa"/>
        <w:tblCellMar>
          <w:top w:w="0" w:type="dxa"/>
          <w:left w:w="0" w:type="dxa"/>
          <w:bottom w:w="0" w:type="dxa"/>
          <w:right w:w="0" w:type="dxa"/>
        </w:tblCellMar>
      </w:tblPr>
      <w:tr>
        <w:trPr>
          <w:trHeight w:val="189"/>
        </w:trPr>
        <w:tc>
          <w:tcPr>
            <w:tcW w:w="3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5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49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to</w:t>
            </w:r>
          </w:p>
        </w:tc>
      </w:tr>
      <w:tr>
        <w:trPr>
          <w:trHeight w:val="212"/>
        </w:trPr>
        <w:tc>
          <w:tcPr>
            <w:tcW w:w="3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40" w:type="dxa"/>
            <w:vAlign w:val="bottom"/>
            <w:gridSpan w:val="4"/>
          </w:tcPr>
          <w:p>
            <w:pPr>
              <w:jc w:val="center"/>
              <w:ind w:right="3662"/>
              <w:spacing w:after="0"/>
              <w:rPr>
                <w:sz w:val="20"/>
                <w:szCs w:val="20"/>
                <w:color w:val="auto"/>
              </w:rPr>
            </w:pPr>
            <w:r>
              <w:rPr>
                <w:rFonts w:ascii="Times New Roman" w:cs="Times New Roman" w:eastAsia="Times New Roman" w:hAnsi="Times New Roman"/>
                <w:sz w:val="16"/>
                <w:szCs w:val="16"/>
                <w:b w:val="1"/>
                <w:bCs w:val="1"/>
                <w:color w:val="auto"/>
              </w:rPr>
              <w:t>Commission file number: 001-41850</w:t>
            </w:r>
          </w:p>
        </w:tc>
      </w:tr>
      <w:tr>
        <w:trPr>
          <w:trHeight w:val="609"/>
        </w:trPr>
        <w:tc>
          <w:tcPr>
            <w:tcW w:w="3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40" w:type="dxa"/>
            <w:vAlign w:val="bottom"/>
            <w:gridSpan w:val="4"/>
          </w:tcPr>
          <w:p>
            <w:pPr>
              <w:jc w:val="center"/>
              <w:ind w:right="3662"/>
              <w:spacing w:after="0"/>
              <w:rPr>
                <w:sz w:val="20"/>
                <w:szCs w:val="20"/>
                <w:color w:val="auto"/>
              </w:rPr>
            </w:pPr>
            <w:r>
              <w:rPr>
                <w:rFonts w:ascii="Times New Roman" w:cs="Times New Roman" w:eastAsia="Times New Roman" w:hAnsi="Times New Roman"/>
                <w:sz w:val="32"/>
                <w:szCs w:val="32"/>
                <w:b w:val="1"/>
                <w:bCs w:val="1"/>
                <w:color w:val="auto"/>
              </w:rPr>
              <w:t>BEYOND, INC.</w:t>
            </w:r>
          </w:p>
        </w:tc>
      </w:tr>
      <w:tr>
        <w:trPr>
          <w:trHeight w:val="234"/>
        </w:trPr>
        <w:tc>
          <w:tcPr>
            <w:tcW w:w="3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5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234"/>
        </w:trPr>
        <w:tc>
          <w:tcPr>
            <w:tcW w:w="3680" w:type="dxa"/>
            <w:vAlign w:val="bottom"/>
            <w:gridSpan w:val="2"/>
          </w:tcPr>
          <w:p>
            <w:pPr>
              <w:jc w:val="center"/>
              <w:ind w:left="1301"/>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4940" w:type="dxa"/>
            <w:vAlign w:val="bottom"/>
            <w:gridSpan w:val="3"/>
          </w:tcPr>
          <w:p>
            <w:pPr>
              <w:jc w:val="right"/>
              <w:ind w:right="2362"/>
              <w:spacing w:after="0"/>
              <w:rPr>
                <w:sz w:val="20"/>
                <w:szCs w:val="20"/>
                <w:color w:val="auto"/>
              </w:rPr>
            </w:pPr>
            <w:r>
              <w:rPr>
                <w:rFonts w:ascii="Times New Roman" w:cs="Times New Roman" w:eastAsia="Times New Roman" w:hAnsi="Times New Roman"/>
                <w:sz w:val="16"/>
                <w:szCs w:val="16"/>
                <w:b w:val="1"/>
                <w:bCs w:val="1"/>
                <w:color w:val="auto"/>
              </w:rPr>
              <w:t>87-0634302</w:t>
            </w:r>
          </w:p>
        </w:tc>
      </w:tr>
      <w:tr>
        <w:trPr>
          <w:trHeight w:val="188"/>
        </w:trPr>
        <w:tc>
          <w:tcPr>
            <w:tcW w:w="6240" w:type="dxa"/>
            <w:vAlign w:val="bottom"/>
            <w:gridSpan w:val="4"/>
          </w:tcPr>
          <w:p>
            <w:pPr>
              <w:jc w:val="center"/>
              <w:ind w:right="1106"/>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4940" w:type="dxa"/>
            <w:vAlign w:val="bottom"/>
            <w:gridSpan w:val="3"/>
          </w:tcPr>
          <w:p>
            <w:pPr>
              <w:jc w:val="center"/>
              <w:ind w:right="642"/>
              <w:spacing w:after="0"/>
              <w:rPr>
                <w:sz w:val="20"/>
                <w:szCs w:val="20"/>
                <w:color w:val="auto"/>
              </w:rPr>
            </w:pPr>
            <w:r>
              <w:rPr>
                <w:rFonts w:ascii="Times New Roman" w:cs="Times New Roman" w:eastAsia="Times New Roman" w:hAnsi="Times New Roman"/>
                <w:sz w:val="14"/>
                <w:szCs w:val="14"/>
                <w:color w:val="auto"/>
              </w:rPr>
              <w:t>(I.R.S. Employer Identification Number)</w:t>
            </w:r>
          </w:p>
        </w:tc>
      </w:tr>
      <w:tr>
        <w:trPr>
          <w:trHeight w:val="247"/>
        </w:trPr>
        <w:tc>
          <w:tcPr>
            <w:tcW w:w="3680" w:type="dxa"/>
            <w:vAlign w:val="bottom"/>
            <w:gridSpan w:val="2"/>
          </w:tcPr>
          <w:p>
            <w:pPr>
              <w:jc w:val="center"/>
              <w:ind w:left="1301"/>
              <w:spacing w:after="0"/>
              <w:rPr>
                <w:sz w:val="20"/>
                <w:szCs w:val="20"/>
                <w:color w:val="auto"/>
              </w:rPr>
            </w:pPr>
            <w:r>
              <w:rPr>
                <w:rFonts w:ascii="Times New Roman" w:cs="Times New Roman" w:eastAsia="Times New Roman" w:hAnsi="Times New Roman"/>
                <w:sz w:val="16"/>
                <w:szCs w:val="16"/>
                <w:b w:val="1"/>
                <w:bCs w:val="1"/>
                <w:color w:val="auto"/>
                <w:w w:val="99"/>
              </w:rPr>
              <w:t>799 West Coliseum Way</w:t>
            </w:r>
          </w:p>
        </w:tc>
        <w:tc>
          <w:tcPr>
            <w:tcW w:w="6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60" w:type="dxa"/>
            <w:vAlign w:val="bottom"/>
          </w:tcPr>
          <w:p>
            <w:pPr>
              <w:spacing w:after="0"/>
              <w:rPr>
                <w:sz w:val="21"/>
                <w:szCs w:val="21"/>
                <w:color w:val="auto"/>
              </w:rPr>
            </w:pPr>
          </w:p>
        </w:tc>
      </w:tr>
      <w:tr>
        <w:trPr>
          <w:trHeight w:val="216"/>
        </w:trPr>
        <w:tc>
          <w:tcPr>
            <w:tcW w:w="3680" w:type="dxa"/>
            <w:vAlign w:val="bottom"/>
            <w:gridSpan w:val="2"/>
          </w:tcPr>
          <w:p>
            <w:pPr>
              <w:jc w:val="center"/>
              <w:ind w:left="1281"/>
              <w:spacing w:after="0"/>
              <w:rPr>
                <w:sz w:val="20"/>
                <w:szCs w:val="20"/>
                <w:color w:val="auto"/>
              </w:rPr>
            </w:pPr>
            <w:r>
              <w:rPr>
                <w:rFonts w:ascii="Times New Roman" w:cs="Times New Roman" w:eastAsia="Times New Roman" w:hAnsi="Times New Roman"/>
                <w:sz w:val="16"/>
                <w:szCs w:val="16"/>
                <w:b w:val="1"/>
                <w:bCs w:val="1"/>
                <w:color w:val="auto"/>
                <w:w w:val="99"/>
              </w:rPr>
              <w:t>Midvale</w:t>
            </w:r>
          </w:p>
        </w:tc>
        <w:tc>
          <w:tcPr>
            <w:tcW w:w="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Pr>
          <w:p>
            <w:pPr>
              <w:spacing w:after="0"/>
              <w:rPr>
                <w:sz w:val="18"/>
                <w:szCs w:val="18"/>
                <w:color w:val="auto"/>
              </w:rPr>
            </w:pPr>
          </w:p>
        </w:tc>
      </w:tr>
      <w:tr>
        <w:trPr>
          <w:trHeight w:val="213"/>
        </w:trPr>
        <w:tc>
          <w:tcPr>
            <w:tcW w:w="3680" w:type="dxa"/>
            <w:vAlign w:val="bottom"/>
            <w:gridSpan w:val="2"/>
          </w:tcPr>
          <w:p>
            <w:pPr>
              <w:jc w:val="center"/>
              <w:ind w:left="1301"/>
              <w:spacing w:after="0"/>
              <w:rPr>
                <w:sz w:val="20"/>
                <w:szCs w:val="20"/>
                <w:color w:val="auto"/>
              </w:rPr>
            </w:pPr>
            <w:r>
              <w:rPr>
                <w:rFonts w:ascii="Times New Roman" w:cs="Times New Roman" w:eastAsia="Times New Roman" w:hAnsi="Times New Roman"/>
                <w:sz w:val="16"/>
                <w:szCs w:val="16"/>
                <w:b w:val="1"/>
                <w:bCs w:val="1"/>
                <w:color w:val="auto"/>
              </w:rPr>
              <w:t>Utah</w:t>
            </w:r>
          </w:p>
        </w:tc>
        <w:tc>
          <w:tcPr>
            <w:tcW w:w="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940" w:type="dxa"/>
            <w:vAlign w:val="bottom"/>
            <w:gridSpan w:val="3"/>
          </w:tcPr>
          <w:p>
            <w:pPr>
              <w:jc w:val="right"/>
              <w:ind w:right="2542"/>
              <w:spacing w:after="0"/>
              <w:rPr>
                <w:sz w:val="20"/>
                <w:szCs w:val="20"/>
                <w:color w:val="auto"/>
              </w:rPr>
            </w:pPr>
            <w:r>
              <w:rPr>
                <w:rFonts w:ascii="Times New Roman" w:cs="Times New Roman" w:eastAsia="Times New Roman" w:hAnsi="Times New Roman"/>
                <w:sz w:val="16"/>
                <w:szCs w:val="16"/>
                <w:b w:val="1"/>
                <w:bCs w:val="1"/>
                <w:color w:val="auto"/>
              </w:rPr>
              <w:t>84047</w:t>
            </w:r>
          </w:p>
        </w:tc>
      </w:tr>
      <w:tr>
        <w:trPr>
          <w:trHeight w:val="188"/>
        </w:trPr>
        <w:tc>
          <w:tcPr>
            <w:tcW w:w="3680" w:type="dxa"/>
            <w:vAlign w:val="bottom"/>
            <w:gridSpan w:val="2"/>
          </w:tcPr>
          <w:p>
            <w:pPr>
              <w:jc w:val="center"/>
              <w:ind w:left="1281"/>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6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60" w:type="dxa"/>
            <w:vAlign w:val="bottom"/>
          </w:tcPr>
          <w:p>
            <w:pPr>
              <w:jc w:val="center"/>
              <w:ind w:right="1922"/>
              <w:spacing w:after="0"/>
              <w:rPr>
                <w:sz w:val="20"/>
                <w:szCs w:val="20"/>
                <w:color w:val="auto"/>
              </w:rPr>
            </w:pPr>
            <w:r>
              <w:rPr>
                <w:rFonts w:ascii="Times New Roman" w:cs="Times New Roman" w:eastAsia="Times New Roman" w:hAnsi="Times New Roman"/>
                <w:sz w:val="14"/>
                <w:szCs w:val="14"/>
                <w:color w:val="auto"/>
              </w:rPr>
              <w:t>(Zip Code)</w:t>
            </w:r>
          </w:p>
        </w:tc>
      </w:tr>
      <w:tr>
        <w:trPr>
          <w:trHeight w:val="509"/>
        </w:trPr>
        <w:tc>
          <w:tcPr>
            <w:tcW w:w="3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60" w:type="dxa"/>
            <w:vAlign w:val="bottom"/>
            <w:gridSpan w:val="2"/>
          </w:tcPr>
          <w:p>
            <w:pPr>
              <w:jc w:val="center"/>
              <w:ind w:left="1176"/>
              <w:spacing w:after="0"/>
              <w:rPr>
                <w:sz w:val="20"/>
                <w:szCs w:val="20"/>
                <w:color w:val="auto"/>
              </w:rPr>
            </w:pPr>
            <w:r>
              <w:rPr>
                <w:rFonts w:ascii="Times New Roman" w:cs="Times New Roman" w:eastAsia="Times New Roman" w:hAnsi="Times New Roman"/>
                <w:sz w:val="16"/>
                <w:szCs w:val="16"/>
                <w:b w:val="1"/>
                <w:bCs w:val="1"/>
                <w:color w:val="auto"/>
              </w:rPr>
              <w:t>(801) 947-3100</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10"/>
        </w:trPr>
        <w:tc>
          <w:tcPr>
            <w:tcW w:w="3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40" w:type="dxa"/>
            <w:vAlign w:val="bottom"/>
            <w:gridSpan w:val="4"/>
          </w:tcPr>
          <w:p>
            <w:pPr>
              <w:jc w:val="center"/>
              <w:ind w:right="3662"/>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r>
      <w:tr>
        <w:trPr>
          <w:trHeight w:val="445"/>
        </w:trPr>
        <w:tc>
          <w:tcPr>
            <w:tcW w:w="3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500" w:type="dxa"/>
            <w:vAlign w:val="bottom"/>
            <w:gridSpan w:val="5"/>
          </w:tcPr>
          <w:p>
            <w:pPr>
              <w:jc w:val="center"/>
              <w:ind w:right="3602"/>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r>
      <w:tr>
        <w:trPr>
          <w:trHeight w:val="233"/>
        </w:trPr>
        <w:tc>
          <w:tcPr>
            <w:tcW w:w="368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rPr>
              <w:t>Title of each class</w:t>
            </w:r>
          </w:p>
        </w:tc>
        <w:tc>
          <w:tcPr>
            <w:tcW w:w="60" w:type="dxa"/>
            <w:vAlign w:val="bottom"/>
          </w:tcPr>
          <w:p>
            <w:pPr>
              <w:spacing w:after="0"/>
              <w:rPr>
                <w:sz w:val="20"/>
                <w:szCs w:val="20"/>
                <w:color w:val="auto"/>
              </w:rPr>
            </w:pPr>
          </w:p>
        </w:tc>
        <w:tc>
          <w:tcPr>
            <w:tcW w:w="2500" w:type="dxa"/>
            <w:vAlign w:val="bottom"/>
          </w:tcPr>
          <w:p>
            <w:pPr>
              <w:jc w:val="center"/>
              <w:ind w:left="1066"/>
              <w:spacing w:after="0"/>
              <w:rPr>
                <w:sz w:val="20"/>
                <w:szCs w:val="20"/>
                <w:color w:val="auto"/>
              </w:rPr>
            </w:pPr>
            <w:r>
              <w:rPr>
                <w:rFonts w:ascii="Times New Roman" w:cs="Times New Roman" w:eastAsia="Times New Roman" w:hAnsi="Times New Roman"/>
                <w:sz w:val="16"/>
                <w:szCs w:val="16"/>
                <w:color w:val="auto"/>
              </w:rPr>
              <w:t>Trading Symbol(s)</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7"/>
        </w:trPr>
        <w:tc>
          <w:tcPr>
            <w:tcW w:w="3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$0.0001 par value</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500" w:type="dxa"/>
            <w:vAlign w:val="bottom"/>
            <w:tcBorders>
              <w:top w:val="single" w:sz="8" w:color="auto"/>
            </w:tcBorders>
          </w:tcPr>
          <w:p>
            <w:pPr>
              <w:jc w:val="center"/>
              <w:ind w:left="1066"/>
              <w:spacing w:after="0"/>
              <w:rPr>
                <w:sz w:val="20"/>
                <w:szCs w:val="20"/>
                <w:color w:val="auto"/>
              </w:rPr>
            </w:pPr>
            <w:r>
              <w:rPr>
                <w:rFonts w:ascii="Times New Roman" w:cs="Times New Roman" w:eastAsia="Times New Roman" w:hAnsi="Times New Roman"/>
                <w:sz w:val="16"/>
                <w:szCs w:val="16"/>
                <w:color w:val="auto"/>
              </w:rPr>
              <w:t>BYON</w:t>
            </w: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r>
    </w:tbl>
    <w:p>
      <w:pPr>
        <w:spacing w:after="0" w:line="329" w:lineRule="exact"/>
        <w:rPr>
          <w:sz w:val="24"/>
          <w:szCs w:val="24"/>
          <w:color w:val="auto"/>
        </w:rPr>
      </w:pPr>
    </w:p>
    <w:p>
      <w:pPr>
        <w:jc w:val="both"/>
        <w:ind w:firstLine="243"/>
        <w:spacing w:after="0" w:line="260"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21"/>
          <w:szCs w:val="21"/>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21"/>
          <w:szCs w:val="21"/>
          <w:color w:val="auto"/>
        </w:rPr>
        <w:t>☐</w:t>
      </w:r>
    </w:p>
    <w:p>
      <w:pPr>
        <w:spacing w:after="0" w:line="196" w:lineRule="exact"/>
        <w:rPr>
          <w:sz w:val="24"/>
          <w:szCs w:val="24"/>
          <w:color w:val="auto"/>
        </w:rPr>
      </w:pPr>
    </w:p>
    <w:p>
      <w:pPr>
        <w:ind w:right="160" w:firstLine="243"/>
        <w:spacing w:after="0" w:line="25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21"/>
          <w:szCs w:val="21"/>
          <w:color w:val="auto"/>
        </w:rPr>
        <w:t>☐</w:t>
      </w:r>
    </w:p>
    <w:p>
      <w:pPr>
        <w:spacing w:after="0" w:line="132" w:lineRule="exact"/>
        <w:rPr>
          <w:sz w:val="24"/>
          <w:szCs w:val="24"/>
          <w:color w:val="auto"/>
        </w:rPr>
      </w:pPr>
    </w:p>
    <w:p>
      <w:pPr>
        <w:ind w:firstLine="243"/>
        <w:spacing w:after="0" w:line="26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w:t>
      </w:r>
    </w:p>
    <w:p>
      <w:pPr>
        <w:sectPr>
          <w:pgSz w:w="11900" w:h="16838" w:orient="portrait"/>
          <w:cols w:equalWidth="0" w:num="1">
            <w:col w:w="11240"/>
          </w:cols>
          <w:pgMar w:left="320" w:top="1118" w:right="339" w:bottom="1440" w:gutter="0" w:footer="0" w:header="0"/>
        </w:sectPr>
      </w:pP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Act.</w:t>
      </w:r>
    </w:p>
    <w:p>
      <w:pPr>
        <w:spacing w:after="0" w:line="159" w:lineRule="exact"/>
        <w:rPr>
          <w:sz w:val="24"/>
          <w:szCs w:val="24"/>
          <w:color w:val="auto"/>
        </w:rPr>
      </w:pPr>
    </w:p>
    <w:p>
      <w:pPr>
        <w:jc w:val="right"/>
        <w:ind w:right="1260"/>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86" w:lineRule="exact"/>
        <w:rPr>
          <w:sz w:val="24"/>
          <w:szCs w:val="24"/>
          <w:color w:val="auto"/>
        </w:rPr>
      </w:pPr>
    </w:p>
    <w:p>
      <w:pPr>
        <w:ind w:left="1740"/>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1100" w:type="dxa"/>
            <w:vAlign w:val="bottom"/>
          </w:tcPr>
          <w:p>
            <w:pPr>
              <w:spacing w:after="0" w:line="221" w:lineRule="exact"/>
              <w:rPr>
                <w:sz w:val="20"/>
                <w:szCs w:val="20"/>
                <w:color w:val="auto"/>
              </w:rPr>
            </w:pPr>
            <w:r>
              <w:rPr>
                <w:rFonts w:ascii="MS PGothic" w:cs="MS PGothic" w:eastAsia="MS PGothic" w:hAnsi="MS PGothic"/>
                <w:sz w:val="22"/>
                <w:szCs w:val="22"/>
                <w:color w:val="auto"/>
              </w:rPr>
              <w:t>☒</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Accelerated filer</w:t>
            </w:r>
          </w:p>
        </w:tc>
        <w:tc>
          <w:tcPr>
            <w:tcW w:w="1120" w:type="dxa"/>
            <w:vAlign w:val="bottom"/>
          </w:tcPr>
          <w:p>
            <w:pPr>
              <w:ind w:left="92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270"/>
        </w:trPr>
        <w:tc>
          <w:tcPr>
            <w:tcW w:w="1100" w:type="dxa"/>
            <w:vAlign w:val="bottom"/>
          </w:tcPr>
          <w:p>
            <w:pPr>
              <w:spacing w:after="0" w:line="221" w:lineRule="exact"/>
              <w:rPr>
                <w:sz w:val="20"/>
                <w:szCs w:val="20"/>
                <w:color w:val="auto"/>
              </w:rPr>
            </w:pPr>
            <w:r>
              <w:rPr>
                <w:rFonts w:ascii="MS PGothic" w:cs="MS PGothic" w:eastAsia="MS PGothic" w:hAnsi="MS PGothic"/>
                <w:sz w:val="22"/>
                <w:szCs w:val="22"/>
                <w:color w:val="auto"/>
              </w:rPr>
              <w:t>☐</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120" w:type="dxa"/>
            <w:vAlign w:val="bottom"/>
          </w:tcPr>
          <w:p>
            <w:pPr>
              <w:ind w:left="92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362"/>
        </w:trPr>
        <w:tc>
          <w:tcPr>
            <w:tcW w:w="11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Emerging growth company</w:t>
            </w:r>
          </w:p>
        </w:tc>
        <w:tc>
          <w:tcPr>
            <w:tcW w:w="1120" w:type="dxa"/>
            <w:vAlign w:val="bottom"/>
          </w:tcPr>
          <w:p>
            <w:pPr>
              <w:ind w:left="920"/>
              <w:spacing w:after="0" w:line="221" w:lineRule="exact"/>
              <w:rPr>
                <w:sz w:val="20"/>
                <w:szCs w:val="20"/>
                <w:color w:val="auto"/>
              </w:rPr>
            </w:pPr>
            <w:r>
              <w:rPr>
                <w:rFonts w:ascii="MS PGothic" w:cs="MS PGothic" w:eastAsia="MS PGothic" w:hAnsi="MS PGothic"/>
                <w:sz w:val="22"/>
                <w:szCs w:val="22"/>
                <w:color w:val="auto"/>
                <w:w w:val="81"/>
              </w:rPr>
              <w:t>☐</w:t>
            </w:r>
          </w:p>
        </w:tc>
      </w:tr>
    </w:tbl>
    <w:p>
      <w:pPr>
        <w:spacing w:after="0" w:line="200" w:lineRule="exact"/>
        <w:rPr>
          <w:sz w:val="24"/>
          <w:szCs w:val="24"/>
          <w:color w:val="auto"/>
        </w:rPr>
      </w:pPr>
    </w:p>
    <w:p>
      <w:pPr>
        <w:sectPr>
          <w:pgSz w:w="11900" w:h="16838" w:orient="portrait"/>
          <w:cols w:equalWidth="0" w:num="2">
            <w:col w:w="4420" w:space="720"/>
            <w:col w:w="6100"/>
          </w:cols>
          <w:pgMar w:left="320" w:top="1118" w:right="339" w:bottom="1440" w:gutter="0" w:footer="0" w:header="0"/>
          <w:type w:val="continuous"/>
        </w:sectPr>
      </w:pPr>
    </w:p>
    <w:p>
      <w:pPr>
        <w:spacing w:after="0" w:line="93" w:lineRule="exact"/>
        <w:rPr>
          <w:sz w:val="24"/>
          <w:szCs w:val="24"/>
          <w:color w:val="auto"/>
        </w:rPr>
      </w:pPr>
    </w:p>
    <w:p>
      <w:pPr>
        <w:ind w:right="340" w:firstLine="243"/>
        <w:spacing w:after="0" w:line="25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139" w:lineRule="exact"/>
        <w:rPr>
          <w:sz w:val="24"/>
          <w:szCs w:val="24"/>
          <w:color w:val="auto"/>
        </w:rPr>
      </w:pPr>
    </w:p>
    <w:p>
      <w:pPr>
        <w:ind w:left="260"/>
        <w:spacing w:after="0" w:line="24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21"/>
          <w:szCs w:val="21"/>
          <w:color w:val="auto"/>
        </w:rPr>
        <w:t>☒</w:t>
      </w:r>
    </w:p>
    <w:p>
      <w:pPr>
        <w:spacing w:after="0" w:line="306"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6"/>
          <w:szCs w:val="16"/>
          <w:color w:val="auto"/>
        </w:rPr>
        <w:t>45,817,810 shares of the registrant's common stock, par value $0.0001, were outstanding on October 18,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607695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114935</wp:posOffset>
            </wp:positionV>
            <wp:extent cx="71151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88900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3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27"/>
        </w:trPr>
        <w:tc>
          <w:tcPr>
            <w:tcW w:w="2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60" w:type="dxa"/>
            <w:vAlign w:val="bottom"/>
            <w:gridSpan w:val="7"/>
          </w:tcPr>
          <w:p>
            <w:pPr>
              <w:jc w:val="center"/>
              <w:ind w:right="2720"/>
              <w:spacing w:after="0"/>
              <w:rPr>
                <w:sz w:val="20"/>
                <w:szCs w:val="20"/>
                <w:color w:val="auto"/>
              </w:rPr>
            </w:pPr>
            <w:r>
              <w:rPr>
                <w:rFonts w:ascii="Times New Roman" w:cs="Times New Roman" w:eastAsia="Times New Roman" w:hAnsi="Times New Roman"/>
                <w:sz w:val="18"/>
                <w:szCs w:val="18"/>
                <w:b w:val="1"/>
                <w:bCs w:val="1"/>
                <w:color w:val="auto"/>
              </w:rPr>
              <w:t>BEYOND, INC.</w:t>
            </w: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900" w:type="dxa"/>
            <w:vAlign w:val="bottom"/>
            <w:gridSpan w:val="1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9"/>
              </w:rPr>
              <w:t>TABLE OF CONTENTS TO QUARTERLY REPORT ON FORM 10-Q</w:t>
            </w: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60" w:type="dxa"/>
            <w:vAlign w:val="bottom"/>
            <w:gridSpan w:val="12"/>
          </w:tcPr>
          <w:p>
            <w:pPr>
              <w:jc w:val="center"/>
              <w:ind w:right="1400"/>
              <w:spacing w:after="0"/>
              <w:rPr>
                <w:sz w:val="20"/>
                <w:szCs w:val="20"/>
                <w:color w:val="auto"/>
              </w:rPr>
            </w:pPr>
            <w:r>
              <w:rPr>
                <w:rFonts w:ascii="Times New Roman" w:cs="Times New Roman" w:eastAsia="Times New Roman" w:hAnsi="Times New Roman"/>
                <w:sz w:val="18"/>
                <w:szCs w:val="18"/>
                <w:b w:val="1"/>
                <w:bCs w:val="1"/>
                <w:color w:val="auto"/>
                <w:w w:val="99"/>
              </w:rPr>
              <w:t>For the Quarterly Period Ended September 30, 2024</w:t>
            </w: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0" w:type="dxa"/>
            <w:vAlign w:val="bottom"/>
            <w:gridSpan w:val="9"/>
            <w:vMerge w:val="restart"/>
          </w:tcPr>
          <w:p>
            <w:pPr>
              <w:jc w:val="center"/>
              <w:ind w:right="206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16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0" w:type="dxa"/>
            <w:vAlign w:val="bottom"/>
            <w:gridSpan w:val="9"/>
            <w:vMerge w:val="continue"/>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5800" w:type="dxa"/>
            <w:vAlign w:val="bottom"/>
            <w:gridSpan w:val="9"/>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w:t>
            </w:r>
          </w:p>
        </w:tc>
        <w:tc>
          <w:tcPr>
            <w:tcW w:w="5200" w:type="dxa"/>
            <w:vAlign w:val="bottom"/>
            <w:gridSpan w:val="8"/>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Loss</w:t>
            </w:r>
          </w:p>
        </w:tc>
        <w:tc>
          <w:tcPr>
            <w:tcW w:w="4480" w:type="dxa"/>
            <w:vAlign w:val="bottom"/>
            <w:gridSpan w:val="6"/>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Consolidated Statements of Changes in Stockholders' Equity</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36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3660" w:type="dxa"/>
            <w:vAlign w:val="bottom"/>
            <w:gridSpan w:val="2"/>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Notes to Unaudited Consolidated Financial Statements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820" w:type="dxa"/>
            <w:vAlign w:val="bottom"/>
            <w:gridSpan w:val="5"/>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2.</w:t>
            </w:r>
          </w:p>
        </w:tc>
        <w:tc>
          <w:tcPr>
            <w:tcW w:w="644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178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3860" w:type="dxa"/>
            <w:vAlign w:val="bottom"/>
            <w:gridSpan w:val="3"/>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4.</w:t>
            </w:r>
          </w:p>
        </w:tc>
        <w:tc>
          <w:tcPr>
            <w:tcW w:w="82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479"/>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0" w:type="dxa"/>
            <w:vAlign w:val="bottom"/>
            <w:gridSpan w:val="9"/>
          </w:tcPr>
          <w:p>
            <w:pPr>
              <w:jc w:val="center"/>
              <w:ind w:right="2080"/>
              <w:spacing w:after="0"/>
              <w:rPr>
                <w:sz w:val="20"/>
                <w:szCs w:val="20"/>
                <w:color w:val="auto"/>
              </w:rPr>
            </w:pPr>
            <w:r>
              <w:rPr>
                <w:rFonts w:ascii="Times New Roman" w:cs="Times New Roman" w:eastAsia="Times New Roman" w:hAnsi="Times New Roman"/>
                <w:sz w:val="18"/>
                <w:szCs w:val="18"/>
                <w:b w:val="1"/>
                <w:bCs w:val="1"/>
                <w:color w:val="auto"/>
                <w:w w:val="98"/>
              </w:rPr>
              <w:t>PART II. OTHER INFORMATION</w:t>
            </w: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w:t>
            </w:r>
          </w:p>
        </w:tc>
        <w:tc>
          <w:tcPr>
            <w:tcW w:w="82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20" w:type="dxa"/>
            <w:vAlign w:val="bottom"/>
            <w:tcBorders>
              <w:top w:val="single" w:sz="8" w:color="0000FF"/>
            </w:tcBorders>
            <w:gridSpan w:val="2"/>
          </w:tcPr>
          <w:p>
            <w:pPr>
              <w:spacing w:after="0"/>
              <w:rPr>
                <w:sz w:val="24"/>
                <w:szCs w:val="24"/>
                <w:color w:val="auto"/>
              </w:rPr>
            </w:pPr>
          </w:p>
        </w:tc>
        <w:tc>
          <w:tcPr>
            <w:tcW w:w="6900" w:type="dxa"/>
            <w:vAlign w:val="bottom"/>
            <w:gridSpan w:val="13"/>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2.</w:t>
            </w:r>
          </w:p>
        </w:tc>
        <w:tc>
          <w:tcPr>
            <w:tcW w:w="82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2020" w:type="dxa"/>
            <w:vAlign w:val="bottom"/>
            <w:tcBorders>
              <w:top w:val="single" w:sz="8" w:color="0000FF"/>
            </w:tcBorders>
            <w:gridSpan w:val="6"/>
          </w:tcPr>
          <w:p>
            <w:pPr>
              <w:spacing w:after="0"/>
              <w:rPr>
                <w:sz w:val="24"/>
                <w:szCs w:val="24"/>
                <w:color w:val="auto"/>
              </w:rPr>
            </w:pPr>
          </w:p>
        </w:tc>
        <w:tc>
          <w:tcPr>
            <w:tcW w:w="3880" w:type="dxa"/>
            <w:vAlign w:val="bottom"/>
            <w:gridSpan w:val="4"/>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4.</w:t>
            </w:r>
          </w:p>
        </w:tc>
        <w:tc>
          <w:tcPr>
            <w:tcW w:w="82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6460" w:type="dxa"/>
            <w:vAlign w:val="bottom"/>
            <w:gridSpan w:val="12"/>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Exhibits</w:t>
            </w:r>
          </w:p>
        </w:tc>
        <w:tc>
          <w:tcPr>
            <w:tcW w:w="6920" w:type="dxa"/>
            <w:vAlign w:val="bottom"/>
            <w:gridSpan w:val="14"/>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2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CAUTIONARY NOTE REGARDING FORWARD-LOOKING STATEMENTS</w:t>
      </w:r>
    </w:p>
    <w:p>
      <w:pPr>
        <w:spacing w:after="0" w:line="227" w:lineRule="exact"/>
        <w:rPr>
          <w:sz w:val="20"/>
          <w:szCs w:val="20"/>
          <w:color w:val="auto"/>
        </w:rPr>
      </w:pPr>
    </w:p>
    <w:p>
      <w:pPr>
        <w:ind w:right="100" w:firstLine="567"/>
        <w:spacing w:after="0" w:line="258" w:lineRule="auto"/>
        <w:rPr>
          <w:sz w:val="20"/>
          <w:szCs w:val="20"/>
          <w:color w:val="auto"/>
        </w:rPr>
      </w:pPr>
      <w:r>
        <w:rPr>
          <w:rFonts w:ascii="Times New Roman" w:cs="Times New Roman" w:eastAsia="Times New Roman" w:hAnsi="Times New Roman"/>
          <w:sz w:val="18"/>
          <w:szCs w:val="18"/>
          <w:i w:val="1"/>
          <w:iCs w:val="1"/>
          <w:color w:val="auto"/>
        </w:rPr>
        <w:t>This Quarterly Report on Form 10-Q and any documents incorporated herein by reference, and our other public documents and statements our officers and representatives may make from time to time, contain forward-looking statements within the meaning of the federal securities laws. We intend for these statements to be entitled to the protection of the safe harbor provisions of these laws. You can find many of these statements by looking for words such as "may," "would," "could," "should," "will," "expect," "anticipate," "predict," "project," "potential," "continue," "contemplate," "seek," "assume," "believe," "intend," "plan," "forecast," "goal," "estimate," or other similar expressions which identify these forward-looking statements.</w:t>
      </w:r>
    </w:p>
    <w:p>
      <w:pPr>
        <w:spacing w:after="0" w:line="210" w:lineRule="exact"/>
        <w:rPr>
          <w:sz w:val="20"/>
          <w:szCs w:val="20"/>
          <w:color w:val="auto"/>
        </w:rPr>
      </w:pPr>
    </w:p>
    <w:p>
      <w:pPr>
        <w:ind w:firstLine="567"/>
        <w:spacing w:after="0" w:line="257" w:lineRule="auto"/>
        <w:rPr>
          <w:sz w:val="20"/>
          <w:szCs w:val="20"/>
          <w:color w:val="auto"/>
        </w:rPr>
      </w:pPr>
      <w:r>
        <w:rPr>
          <w:rFonts w:ascii="Times New Roman" w:cs="Times New Roman" w:eastAsia="Times New Roman" w:hAnsi="Times New Roman"/>
          <w:sz w:val="18"/>
          <w:szCs w:val="18"/>
          <w:i w:val="1"/>
          <w:iCs w:val="1"/>
          <w:color w:val="auto"/>
        </w:rPr>
        <w:t>These forward-looking statements involve risks and uncertainties and relate to future events or our future financial or operating performance. These forward-looking statements are not historical facts, and are based on current expectations, estimates and projections about our industry and business, and on management's beliefs and certain assumptions made by management, many of which, by their nature, are inherently uncertain and beyond our control. Accordingly, you are cautioned that any such forward-looking statements are not guarantees of future performance and are subject to assumptions, risks, uncertainties, and other important factors that are difficult to predict, and that actual results and outcomes may be materially different from the results or outcomes expressed or implied by any of our forward-looking statements for a variety of reasons, including among others:</w:t>
      </w:r>
    </w:p>
    <w:p>
      <w:pPr>
        <w:spacing w:after="0" w:line="209" w:lineRule="exact"/>
        <w:rPr>
          <w:sz w:val="20"/>
          <w:szCs w:val="20"/>
          <w:color w:val="auto"/>
        </w:rPr>
      </w:pPr>
    </w:p>
    <w:p>
      <w:pPr>
        <w:ind w:left="660" w:right="500" w:hanging="328"/>
        <w:spacing w:after="0" w:line="262"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any difficulties we may encounter as a result of our reliance on third-parties that we do not control for the performance of critical functions material to our business, such as carriers, fulfillment partners, and SaaS/IaaS providers;</w:t>
      </w:r>
    </w:p>
    <w:p>
      <w:pPr>
        <w:ind w:left="660" w:right="820" w:hanging="328"/>
        <w:spacing w:after="0" w:line="250"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any inability to compete successfully against existing or future competitors or to effectively market our business and generate customer traffic;</w:t>
      </w: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realize the benefits of any investment in new business strategies, partnerships, ventures, acquisitions, or other transactions;</w:t>
      </w:r>
    </w:p>
    <w:p>
      <w:pPr>
        <w:spacing w:after="0" w:line="9" w:lineRule="exact"/>
        <w:rPr>
          <w:rFonts w:ascii="Times New Roman" w:cs="Times New Roman" w:eastAsia="Times New Roman" w:hAnsi="Times New Roman"/>
          <w:sz w:val="18"/>
          <w:szCs w:val="18"/>
          <w:i w:val="1"/>
          <w:iCs w:val="1"/>
          <w:color w:val="auto"/>
        </w:rPr>
      </w:pPr>
    </w:p>
    <w:p>
      <w:pPr>
        <w:ind w:left="660" w:right="400" w:hanging="328"/>
        <w:spacing w:after="0" w:line="250"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 recession or other economic downturn, inflation, high interest rates, our exposure to the U.S. housing market, or other changes in U.S. and global economic conditions or U.S. consumer spending;</w:t>
      </w:r>
    </w:p>
    <w:p>
      <w:pPr>
        <w:ind w:left="660" w:right="440" w:hanging="328"/>
        <w:spacing w:after="0" w:line="250"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any increases in the price of importing goods into the U.S. or transporting to our customers the types of merchandise we sell or other supply chain challenges that limit our ability to deliver merchandise to our customers in a timely and cost-effective manner;</w:t>
      </w:r>
    </w:p>
    <w:p>
      <w:pPr>
        <w:ind w:left="660" w:right="360" w:hanging="328"/>
        <w:spacing w:after="0" w:line="250"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any difficulties or negative consequences we may encounter as a result of our changed company name, changed stock ticker symbol, changed stock exchange on which our common stock trades, or as a result of the use of our various brands including Beyond, Overstock, Bed Bath &amp; Beyond, Zulily, Backyard, and College Living and the platforms on which they operate;</w:t>
      </w:r>
    </w:p>
    <w:p>
      <w:pPr>
        <w:spacing w:after="0" w:line="1" w:lineRule="exact"/>
        <w:rPr>
          <w:rFonts w:ascii="Times New Roman" w:cs="Times New Roman" w:eastAsia="Times New Roman" w:hAnsi="Times New Roman"/>
          <w:sz w:val="18"/>
          <w:szCs w:val="18"/>
          <w:i w:val="1"/>
          <w:iCs w:val="1"/>
          <w:color w:val="auto"/>
        </w:rPr>
      </w:pPr>
    </w:p>
    <w:p>
      <w:pPr>
        <w:ind w:left="660" w:right="440" w:hanging="328"/>
        <w:spacing w:after="0" w:line="250"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any problems associated with the changing job market, changing job structure, organizational changes or restructuring, reductions in force, changing compensation structure, or ability to attract and retain key personnel;</w:t>
      </w: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any inability to generate and maintain unpaid natural traffic to our websites;</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any inability to become profitable or generate positive cash flow from operations;</w:t>
      </w:r>
    </w:p>
    <w:p>
      <w:pPr>
        <w:spacing w:after="0" w:line="9" w:lineRule="exact"/>
        <w:rPr>
          <w:rFonts w:ascii="Times New Roman" w:cs="Times New Roman" w:eastAsia="Times New Roman" w:hAnsi="Times New Roman"/>
          <w:sz w:val="18"/>
          <w:szCs w:val="18"/>
          <w:i w:val="1"/>
          <w:iCs w:val="1"/>
          <w:color w:val="auto"/>
        </w:rPr>
      </w:pPr>
    </w:p>
    <w:p>
      <w:pPr>
        <w:ind w:left="660" w:right="800" w:hanging="328"/>
        <w:spacing w:after="0" w:line="250"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relocation or third-party maintenance of our data center or any other risks or challenges that could result in loss of functionality or unavailability of our websites or reduced performance of our transaction systems;</w:t>
      </w: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exposure to cybersecurity risks, risks of data loss and other security breaches;</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risk that we may incur or be required to recognize losses relating to our equity and other investments, including new investments;</w:t>
      </w:r>
    </w:p>
    <w:p>
      <w:pPr>
        <w:spacing w:after="0" w:line="15" w:lineRule="exact"/>
        <w:rPr>
          <w:rFonts w:ascii="Times New Roman" w:cs="Times New Roman" w:eastAsia="Times New Roman" w:hAnsi="Times New Roman"/>
          <w:sz w:val="18"/>
          <w:szCs w:val="18"/>
          <w:i w:val="1"/>
          <w:iCs w:val="1"/>
          <w:color w:val="auto"/>
        </w:rPr>
      </w:pPr>
    </w:p>
    <w:p>
      <w:pPr>
        <w:ind w:left="660" w:right="100" w:hanging="328"/>
        <w:spacing w:after="0" w:line="236" w:lineRule="auto"/>
        <w:tabs>
          <w:tab w:leader="none" w:pos="655" w:val="left"/>
        </w:tabs>
        <w:numPr>
          <w:ilvl w:val="0"/>
          <w:numId w:val="3"/>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18"/>
          <w:szCs w:val="18"/>
          <w:i w:val="1"/>
          <w:iCs w:val="1"/>
          <w:color w:val="auto"/>
        </w:rPr>
        <w:t>the impacts that we would experience if governmental entities or providers of consumer devices and internet browsers further restrict or regulate the use of "cookie" tracking technologies;</w:t>
      </w:r>
    </w:p>
    <w:p>
      <w:pPr>
        <w:ind w:left="660" w:right="520" w:hanging="328"/>
        <w:spacing w:after="0" w:line="235"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impact that any litigation, claims, or regulatory matters could have on our business, financial condition, results of operations, and cash flows;</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any inability to optimize and effectively operate our distribution center, warehouse, and customer service operations;</w:t>
      </w:r>
    </w:p>
    <w:p>
      <w:pPr>
        <w:spacing w:after="0" w:line="7" w:lineRule="exact"/>
        <w:rPr>
          <w:rFonts w:ascii="Times New Roman" w:cs="Times New Roman" w:eastAsia="Times New Roman" w:hAnsi="Times New Roman"/>
          <w:sz w:val="18"/>
          <w:szCs w:val="18"/>
          <w:i w:val="1"/>
          <w:iCs w:val="1"/>
          <w:color w:val="auto"/>
        </w:rPr>
      </w:pPr>
    </w:p>
    <w:p>
      <w:pPr>
        <w:ind w:left="660" w:hanging="328"/>
        <w:spacing w:after="0" w:line="236" w:lineRule="auto"/>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any failures to effectively utilize technological advancements;</w:t>
      </w: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negative economic consequences of political events such as the U.S. presidential election, various global conflicts, and macroeconomic factors;</w:t>
      </w:r>
    </w:p>
    <w:p>
      <w:pPr>
        <w:spacing w:after="0" w:line="7"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negative consequences associated with our determination to partially self-insure our employee's health insurance;</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possibility that we may be unable to protect our proprietary technology and to obtain trademark protection for our marks;</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current and future claims of intellectual property infringement to which we are subject;</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ind w:left="660" w:right="200" w:hanging="328"/>
        <w:spacing w:after="0" w:line="262" w:lineRule="auto"/>
        <w:tabs>
          <w:tab w:leader="none" w:pos="65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any difficulties we may encounter as a result of our reliance on third-parties that we do not control for their representations regarding product compliance with various laws and regulations;</w:t>
      </w:r>
    </w:p>
    <w:p>
      <w:pPr>
        <w:ind w:left="660" w:right="180" w:hanging="328"/>
        <w:spacing w:after="0" w:line="250" w:lineRule="auto"/>
        <w:tabs>
          <w:tab w:leader="none" w:pos="65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any difficulties we may encounter as a result of our evolving business practices, including strategic ventures, the expansion of our products and service offerings, our continuing expansion into international markets, our changing approach to holding inventory, content creation, and sales through our various websites and brands;</w:t>
      </w:r>
    </w:p>
    <w:p>
      <w:pPr>
        <w:spacing w:after="0" w:line="1" w:lineRule="exact"/>
        <w:rPr>
          <w:rFonts w:ascii="Times New Roman" w:cs="Times New Roman" w:eastAsia="Times New Roman" w:hAnsi="Times New Roman"/>
          <w:sz w:val="18"/>
          <w:szCs w:val="18"/>
          <w:i w:val="1"/>
          <w:iCs w:val="1"/>
          <w:color w:val="auto"/>
        </w:rPr>
      </w:pPr>
    </w:p>
    <w:p>
      <w:pPr>
        <w:ind w:left="660" w:right="300" w:hanging="328"/>
        <w:spacing w:after="0" w:line="250" w:lineRule="auto"/>
        <w:tabs>
          <w:tab w:leader="none" w:pos="65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any problems associated with our lack of visibility into, and our lack of influence over, our equity method investments, including our reliance on third-parties to timely and accurately report material events to us;</w:t>
      </w:r>
    </w:p>
    <w:p>
      <w:pPr>
        <w:ind w:left="660" w:right="520" w:hanging="328"/>
        <w:spacing w:after="0" w:line="250" w:lineRule="auto"/>
        <w:tabs>
          <w:tab w:leader="none" w:pos="65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any inability of Pelion Venture Partners to successfully manage the Medici Ventures, L.P. fund, in which we are the limited partner, or any other entity in which we also have a direct minority interest; and</w:t>
      </w:r>
    </w:p>
    <w:p>
      <w:pPr>
        <w:ind w:left="660" w:hanging="328"/>
        <w:spacing w:after="0"/>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other risks described in this report or in our other public filings.</w:t>
      </w:r>
    </w:p>
    <w:p>
      <w:pPr>
        <w:spacing w:after="0" w:line="232" w:lineRule="exact"/>
        <w:rPr>
          <w:sz w:val="20"/>
          <w:szCs w:val="20"/>
          <w:color w:val="auto"/>
        </w:rPr>
      </w:pPr>
    </w:p>
    <w:p>
      <w:pPr>
        <w:ind w:firstLine="567"/>
        <w:spacing w:after="0" w:line="254" w:lineRule="auto"/>
        <w:rPr>
          <w:sz w:val="20"/>
          <w:szCs w:val="20"/>
          <w:color w:val="auto"/>
        </w:rPr>
      </w:pPr>
      <w:r>
        <w:rPr>
          <w:rFonts w:ascii="Times New Roman" w:cs="Times New Roman" w:eastAsia="Times New Roman" w:hAnsi="Times New Roman"/>
          <w:sz w:val="18"/>
          <w:szCs w:val="18"/>
          <w:i w:val="1"/>
          <w:iCs w:val="1"/>
          <w:color w:val="auto"/>
        </w:rPr>
        <w:t>In evaluating all forward-looking statements, you should specifically consider the risks outlined above and in this report and our Annual Report on Form 10-K for the year ended December 31, 2023, filed with the SEC on February 23, 2024, in our Form 10-Q for the quarter ended March 31, 2024, filed with the SEC on May 8, 2024, in our Form 10-Q for the quarter ended June 30, 2024, filed with the SEC on July 31, 2024 especially under the headings "Special Cautionary Note Regarding Forward-Looking Statements," "Risk Factors," "Legal Proceedings," and "Management's Discussion and Analysis of Financial Condition and Results of Operations." These factors may cause our actual results and outcomes to differ materially from those contemplated by any forward-looking statement. Although we believe that our expectations reflected in the forward-looking statements are reasonable, we cannot guarantee or offer any assurance of future results, levels of activity, performance or achievements or other future events. Our forward-looking statements contained in this report speak only as of the date of this report and, except as required by law, we undertake no obligation to update forward-looking statements to reflect events or circumstances occurring after the date of this report or any changes in our expectations or any change in any events, conditions or circumstances on which any of our forward-looking statements are based.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364" w:right="4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9"/>
        </w:trPr>
        <w:tc>
          <w:tcPr>
            <w:tcW w:w="1280" w:type="dxa"/>
            <w:vAlign w:val="bottom"/>
            <w:tcBorders>
              <w:top w:val="single" w:sz="8" w:color="0000FF"/>
            </w:tcBorders>
          </w:tcPr>
          <w:p>
            <w:pPr>
              <w:spacing w:after="0"/>
              <w:rPr>
                <w:sz w:val="24"/>
                <w:szCs w:val="24"/>
                <w:color w:val="auto"/>
              </w:rPr>
            </w:pPr>
          </w:p>
        </w:tc>
        <w:tc>
          <w:tcPr>
            <w:tcW w:w="6800" w:type="dxa"/>
            <w:vAlign w:val="bottom"/>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280" w:type="dxa"/>
            <w:vAlign w:val="bottom"/>
          </w:tcPr>
          <w:p>
            <w:pPr>
              <w:spacing w:after="0"/>
              <w:rPr>
                <w:sz w:val="24"/>
                <w:szCs w:val="24"/>
                <w:color w:val="auto"/>
              </w:rPr>
            </w:pPr>
          </w:p>
        </w:tc>
        <w:tc>
          <w:tcPr>
            <w:tcW w:w="6800" w:type="dxa"/>
            <w:vAlign w:val="bottom"/>
          </w:tcPr>
          <w:p>
            <w:pPr>
              <w:jc w:val="center"/>
              <w:ind w:left="1790"/>
              <w:spacing w:after="0"/>
              <w:rPr>
                <w:sz w:val="20"/>
                <w:szCs w:val="20"/>
                <w:color w:val="auto"/>
              </w:rPr>
            </w:pPr>
            <w:r>
              <w:rPr>
                <w:rFonts w:ascii="Times New Roman" w:cs="Times New Roman" w:eastAsia="Times New Roman" w:hAnsi="Times New Roman"/>
                <w:sz w:val="18"/>
                <w:szCs w:val="18"/>
                <w:b w:val="1"/>
                <w:bCs w:val="1"/>
                <w:color w:val="auto"/>
                <w:w w:val="99"/>
              </w:rPr>
              <w:t>Beyond, Inc.</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280" w:type="dxa"/>
            <w:vAlign w:val="bottom"/>
          </w:tcPr>
          <w:p>
            <w:pPr>
              <w:spacing w:after="0"/>
              <w:rPr>
                <w:sz w:val="15"/>
                <w:szCs w:val="15"/>
                <w:color w:val="auto"/>
              </w:rPr>
            </w:pPr>
          </w:p>
        </w:tc>
        <w:tc>
          <w:tcPr>
            <w:tcW w:w="6800" w:type="dxa"/>
            <w:vAlign w:val="bottom"/>
          </w:tcPr>
          <w:p>
            <w:pPr>
              <w:jc w:val="center"/>
              <w:ind w:left="1810"/>
              <w:spacing w:after="0" w:line="180" w:lineRule="exact"/>
              <w:rPr>
                <w:sz w:val="20"/>
                <w:szCs w:val="20"/>
                <w:color w:val="auto"/>
              </w:rPr>
            </w:pPr>
            <w:r>
              <w:rPr>
                <w:rFonts w:ascii="Times New Roman" w:cs="Times New Roman" w:eastAsia="Times New Roman" w:hAnsi="Times New Roman"/>
                <w:sz w:val="18"/>
                <w:szCs w:val="18"/>
                <w:b w:val="1"/>
                <w:bCs w:val="1"/>
                <w:color w:val="auto"/>
              </w:rPr>
              <w:t>Consolidated Balance Sheets (Unaudited)</w:t>
            </w: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6800" w:type="dxa"/>
            <w:vAlign w:val="bottom"/>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data)</w:t>
            </w:r>
          </w:p>
        </w:tc>
        <w:tc>
          <w:tcPr>
            <w:tcW w:w="160" w:type="dxa"/>
            <w:vAlign w:val="bottom"/>
          </w:tcPr>
          <w:p>
            <w:pPr>
              <w:spacing w:after="0"/>
              <w:rPr>
                <w:sz w:val="20"/>
                <w:szCs w:val="20"/>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20"/>
                <w:szCs w:val="20"/>
                <w:color w:val="auto"/>
              </w:rPr>
            </w:pPr>
          </w:p>
        </w:tc>
        <w:tc>
          <w:tcPr>
            <w:tcW w:w="13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6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1280" w:type="dxa"/>
            <w:vAlign w:val="bottom"/>
            <w:tcBorders>
              <w:bottom w:val="single" w:sz="8" w:color="CCEEFF"/>
            </w:tcBorders>
          </w:tcPr>
          <w:p>
            <w:pPr>
              <w:spacing w:after="0"/>
              <w:rPr>
                <w:sz w:val="20"/>
                <w:szCs w:val="20"/>
                <w:color w:val="auto"/>
              </w:rPr>
            </w:pPr>
          </w:p>
        </w:tc>
        <w:tc>
          <w:tcPr>
            <w:tcW w:w="68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5"/>
        </w:trPr>
        <w:tc>
          <w:tcPr>
            <w:tcW w:w="1280" w:type="dxa"/>
            <w:vAlign w:val="bottom"/>
            <w:shd w:val="clear" w:color="auto" w:fill="CCEEFF"/>
          </w:tcPr>
          <w:p>
            <w:pPr>
              <w:spacing w:after="0"/>
              <w:rPr>
                <w:sz w:val="19"/>
                <w:szCs w:val="19"/>
                <w:color w:val="auto"/>
              </w:rPr>
            </w:pPr>
          </w:p>
        </w:tc>
        <w:tc>
          <w:tcPr>
            <w:tcW w:w="6800" w:type="dxa"/>
            <w:vAlign w:val="bottom"/>
            <w:shd w:val="clear" w:color="auto" w:fill="CCEEFF"/>
          </w:tcPr>
          <w:p>
            <w:pPr>
              <w:jc w:val="center"/>
              <w:ind w:right="119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140,371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302,605</w:t>
            </w:r>
          </w:p>
        </w:tc>
        <w:tc>
          <w:tcPr>
            <w:tcW w:w="0" w:type="dxa"/>
            <w:vAlign w:val="bottom"/>
          </w:tcPr>
          <w:p>
            <w:pPr>
              <w:spacing w:after="0"/>
              <w:rPr>
                <w:sz w:val="1"/>
                <w:szCs w:val="1"/>
                <w:color w:val="auto"/>
              </w:rPr>
            </w:pPr>
          </w:p>
        </w:tc>
      </w:tr>
      <w:tr>
        <w:trPr>
          <w:trHeight w:val="230"/>
        </w:trPr>
        <w:tc>
          <w:tcPr>
            <w:tcW w:w="8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 of allowance for credit losses of $1,789 and $1,298</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19,420</w:t>
            </w:r>
          </w:p>
        </w:tc>
        <w:tc>
          <w:tcPr>
            <w:tcW w:w="0" w:type="dxa"/>
            <w:vAlign w:val="bottom"/>
          </w:tcPr>
          <w:p>
            <w:pPr>
              <w:spacing w:after="0"/>
              <w:rPr>
                <w:sz w:val="1"/>
                <w:szCs w:val="1"/>
                <w:color w:val="auto"/>
              </w:rPr>
            </w:pPr>
          </w:p>
        </w:tc>
      </w:tr>
      <w:tr>
        <w:trPr>
          <w:trHeight w:val="230"/>
        </w:trPr>
        <w:tc>
          <w:tcPr>
            <w:tcW w:w="8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13,040</w:t>
            </w: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14,864</w:t>
            </w:r>
          </w:p>
        </w:tc>
        <w:tc>
          <w:tcPr>
            <w:tcW w:w="0" w:type="dxa"/>
            <w:vAlign w:val="bottom"/>
          </w:tcPr>
          <w:p>
            <w:pPr>
              <w:spacing w:after="0"/>
              <w:rPr>
                <w:sz w:val="1"/>
                <w:szCs w:val="1"/>
                <w:color w:val="auto"/>
              </w:rPr>
            </w:pPr>
          </w:p>
        </w:tc>
      </w:tr>
      <w:tr>
        <w:trPr>
          <w:trHeight w:val="223"/>
        </w:trPr>
        <w:tc>
          <w:tcPr>
            <w:tcW w:w="8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183,082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350,073</w:t>
            </w: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27,577</w:t>
            </w:r>
          </w:p>
        </w:tc>
        <w:tc>
          <w:tcPr>
            <w:tcW w:w="0" w:type="dxa"/>
            <w:vAlign w:val="bottom"/>
          </w:tcPr>
          <w:p>
            <w:pPr>
              <w:spacing w:after="0"/>
              <w:rPr>
                <w:sz w:val="1"/>
                <w:szCs w:val="1"/>
                <w:color w:val="auto"/>
              </w:rPr>
            </w:pPr>
          </w:p>
        </w:tc>
      </w:tr>
      <w:tr>
        <w:trPr>
          <w:trHeight w:val="229"/>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30,509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25,254</w:t>
            </w: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6,160</w:t>
            </w:r>
          </w:p>
        </w:tc>
        <w:tc>
          <w:tcPr>
            <w:tcW w:w="0" w:type="dxa"/>
            <w:vAlign w:val="bottom"/>
          </w:tcPr>
          <w:p>
            <w:pPr>
              <w:spacing w:after="0"/>
              <w:rPr>
                <w:sz w:val="1"/>
                <w:szCs w:val="1"/>
                <w:color w:val="auto"/>
              </w:rPr>
            </w:pPr>
          </w:p>
        </w:tc>
      </w:tr>
      <w:tr>
        <w:trPr>
          <w:trHeight w:val="229"/>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securities, including securities measured at fair value of $21,500 and $41,046</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112,468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155,873</w:t>
            </w: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w:t>
            </w:r>
          </w:p>
        </w:tc>
        <w:tc>
          <w:tcPr>
            <w:tcW w:w="0" w:type="dxa"/>
            <w:vAlign w:val="bottom"/>
          </w:tcPr>
          <w:p>
            <w:pPr>
              <w:spacing w:after="0"/>
              <w:rPr>
                <w:sz w:val="1"/>
                <w:szCs w:val="1"/>
                <w:color w:val="auto"/>
              </w:rPr>
            </w:pPr>
          </w:p>
        </w:tc>
      </w:tr>
      <w:tr>
        <w:trPr>
          <w:trHeight w:val="230"/>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long-term assets, net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12,951</w:t>
            </w: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 held for sale</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53,023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54,462</w:t>
            </w:r>
          </w:p>
        </w:tc>
        <w:tc>
          <w:tcPr>
            <w:tcW w:w="0" w:type="dxa"/>
            <w:vAlign w:val="bottom"/>
          </w:tcPr>
          <w:p>
            <w:pPr>
              <w:spacing w:after="0"/>
              <w:rPr>
                <w:sz w:val="1"/>
                <w:szCs w:val="1"/>
                <w:color w:val="auto"/>
              </w:rPr>
            </w:pPr>
          </w:p>
        </w:tc>
      </w:tr>
      <w:tr>
        <w:trPr>
          <w:trHeight w:val="223"/>
        </w:trPr>
        <w:tc>
          <w:tcPr>
            <w:tcW w:w="8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428,338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635,818</w:t>
            </w:r>
          </w:p>
        </w:tc>
        <w:tc>
          <w:tcPr>
            <w:tcW w:w="0" w:type="dxa"/>
            <w:vAlign w:val="bottom"/>
          </w:tcPr>
          <w:p>
            <w:pPr>
              <w:spacing w:after="0"/>
              <w:rPr>
                <w:sz w:val="1"/>
                <w:szCs w:val="1"/>
                <w:color w:val="auto"/>
              </w:rPr>
            </w:pP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68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80" w:type="dxa"/>
            <w:vAlign w:val="bottom"/>
            <w:shd w:val="clear" w:color="auto" w:fill="CCEEFF"/>
          </w:tcPr>
          <w:p>
            <w:pPr>
              <w:spacing w:after="0"/>
              <w:rPr>
                <w:sz w:val="19"/>
                <w:szCs w:val="19"/>
                <w:color w:val="auto"/>
              </w:rPr>
            </w:pPr>
          </w:p>
        </w:tc>
        <w:tc>
          <w:tcPr>
            <w:tcW w:w="6800" w:type="dxa"/>
            <w:vAlign w:val="bottom"/>
            <w:shd w:val="clear" w:color="auto" w:fill="CCEEFF"/>
          </w:tcPr>
          <w:p>
            <w:pPr>
              <w:jc w:val="center"/>
              <w:ind w:right="1190"/>
              <w:spacing w:after="0"/>
              <w:rPr>
                <w:sz w:val="20"/>
                <w:szCs w:val="20"/>
                <w:color w:val="auto"/>
              </w:rPr>
            </w:pPr>
            <w:r>
              <w:rPr>
                <w:rFonts w:ascii="Times New Roman" w:cs="Times New Roman" w:eastAsia="Times New Roman" w:hAnsi="Times New Roman"/>
                <w:sz w:val="18"/>
                <w:szCs w:val="18"/>
                <w:b w:val="1"/>
                <w:bCs w:val="1"/>
                <w:color w:val="auto"/>
                <w:w w:val="99"/>
              </w:rPr>
              <w:t>Liabilities and Stockholders' Equity</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87,962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106,070</w:t>
            </w:r>
          </w:p>
        </w:tc>
        <w:tc>
          <w:tcPr>
            <w:tcW w:w="0" w:type="dxa"/>
            <w:vAlign w:val="bottom"/>
          </w:tcPr>
          <w:p>
            <w:pPr>
              <w:spacing w:after="0"/>
              <w:rPr>
                <w:sz w:val="1"/>
                <w:szCs w:val="1"/>
                <w:color w:val="auto"/>
              </w:rPr>
            </w:pPr>
          </w:p>
        </w:tc>
      </w:tr>
      <w:tr>
        <w:trPr>
          <w:trHeight w:val="230"/>
        </w:trPr>
        <w:tc>
          <w:tcPr>
            <w:tcW w:w="8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54,321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73,682</w:t>
            </w: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Unearned revenue</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44,949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49,597</w:t>
            </w:r>
          </w:p>
        </w:tc>
        <w:tc>
          <w:tcPr>
            <w:tcW w:w="0" w:type="dxa"/>
            <w:vAlign w:val="bottom"/>
          </w:tcPr>
          <w:p>
            <w:pPr>
              <w:spacing w:after="0"/>
              <w:rPr>
                <w:sz w:val="1"/>
                <w:szCs w:val="1"/>
                <w:color w:val="auto"/>
              </w:rPr>
            </w:pPr>
          </w:p>
        </w:tc>
      </w:tr>
      <w:tr>
        <w:trPr>
          <w:trHeight w:val="230"/>
        </w:trPr>
        <w:tc>
          <w:tcPr>
            <w:tcW w:w="8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2,814</w:t>
            </w: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debt, net held for sale</w:t>
            </w: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23"/>
        </w:trPr>
        <w:tc>
          <w:tcPr>
            <w:tcW w:w="8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189,039</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232,395</w:t>
            </w: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0" w:type="dxa"/>
            <w:vAlign w:val="bottom"/>
          </w:tcPr>
          <w:p>
            <w:pPr>
              <w:spacing w:after="0"/>
              <w:rPr>
                <w:sz w:val="1"/>
                <w:szCs w:val="1"/>
                <w:color w:val="auto"/>
              </w:rPr>
            </w:pPr>
          </w:p>
        </w:tc>
      </w:tr>
      <w:tr>
        <w:trPr>
          <w:trHeight w:val="230"/>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9,107</w:t>
            </w: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 held for sale</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34,232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34,244</w:t>
            </w:r>
          </w:p>
        </w:tc>
        <w:tc>
          <w:tcPr>
            <w:tcW w:w="0" w:type="dxa"/>
            <w:vAlign w:val="bottom"/>
          </w:tcPr>
          <w:p>
            <w:pPr>
              <w:spacing w:after="0"/>
              <w:rPr>
                <w:sz w:val="1"/>
                <w:szCs w:val="1"/>
                <w:color w:val="auto"/>
              </w:rPr>
            </w:pPr>
          </w:p>
        </w:tc>
      </w:tr>
      <w:tr>
        <w:trPr>
          <w:trHeight w:val="223"/>
        </w:trPr>
        <w:tc>
          <w:tcPr>
            <w:tcW w:w="808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232,145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276,686</w:t>
            </w:r>
          </w:p>
        </w:tc>
        <w:tc>
          <w:tcPr>
            <w:tcW w:w="0" w:type="dxa"/>
            <w:vAlign w:val="bottom"/>
          </w:tcPr>
          <w:p>
            <w:pPr>
              <w:spacing w:after="0"/>
              <w:rPr>
                <w:sz w:val="1"/>
                <w:szCs w:val="1"/>
                <w:color w:val="auto"/>
              </w:rPr>
            </w:pPr>
          </w:p>
        </w:tc>
      </w:tr>
      <w:tr>
        <w:trPr>
          <w:trHeight w:val="210"/>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Continued on the following page</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6"/>
        </w:trPr>
        <w:tc>
          <w:tcPr>
            <w:tcW w:w="1280" w:type="dxa"/>
            <w:vAlign w:val="bottom"/>
            <w:tcBorders>
              <w:top w:val="single" w:sz="8" w:color="0000FF"/>
            </w:tcBorders>
          </w:tcPr>
          <w:p>
            <w:pPr>
              <w:spacing w:after="0"/>
              <w:rPr>
                <w:sz w:val="24"/>
                <w:szCs w:val="24"/>
                <w:color w:val="auto"/>
              </w:rPr>
            </w:pPr>
          </w:p>
        </w:tc>
        <w:tc>
          <w:tcPr>
            <w:tcW w:w="6800" w:type="dxa"/>
            <w:vAlign w:val="bottom"/>
          </w:tcPr>
          <w:p>
            <w:pPr>
              <w:jc w:val="center"/>
              <w:ind w:left="1790"/>
              <w:spacing w:after="0"/>
              <w:rPr>
                <w:sz w:val="20"/>
                <w:szCs w:val="20"/>
                <w:color w:val="auto"/>
              </w:rPr>
            </w:pPr>
            <w:r>
              <w:rPr>
                <w:rFonts w:ascii="Times New Roman" w:cs="Times New Roman" w:eastAsia="Times New Roman" w:hAnsi="Times New Roman"/>
                <w:sz w:val="18"/>
                <w:szCs w:val="18"/>
                <w:b w:val="1"/>
                <w:bCs w:val="1"/>
                <w:color w:val="auto"/>
                <w:w w:val="99"/>
              </w:rPr>
              <w:t>Beyond, Inc.</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280" w:type="dxa"/>
            <w:vAlign w:val="bottom"/>
          </w:tcPr>
          <w:p>
            <w:pPr>
              <w:spacing w:after="0"/>
              <w:rPr>
                <w:sz w:val="15"/>
                <w:szCs w:val="15"/>
                <w:color w:val="auto"/>
              </w:rPr>
            </w:pPr>
          </w:p>
        </w:tc>
        <w:tc>
          <w:tcPr>
            <w:tcW w:w="6800" w:type="dxa"/>
            <w:vAlign w:val="bottom"/>
          </w:tcPr>
          <w:p>
            <w:pPr>
              <w:jc w:val="center"/>
              <w:ind w:left="1810"/>
              <w:spacing w:after="0" w:line="180" w:lineRule="exact"/>
              <w:rPr>
                <w:sz w:val="20"/>
                <w:szCs w:val="20"/>
                <w:color w:val="auto"/>
              </w:rPr>
            </w:pPr>
            <w:r>
              <w:rPr>
                <w:rFonts w:ascii="Times New Roman" w:cs="Times New Roman" w:eastAsia="Times New Roman" w:hAnsi="Times New Roman"/>
                <w:sz w:val="18"/>
                <w:szCs w:val="18"/>
                <w:b w:val="1"/>
                <w:bCs w:val="1"/>
                <w:color w:val="auto"/>
              </w:rPr>
              <w:t>Consolidated Balance Sheets (Unaudited)</w:t>
            </w: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6800" w:type="dxa"/>
            <w:vAlign w:val="bottom"/>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data)</w:t>
            </w:r>
          </w:p>
        </w:tc>
        <w:tc>
          <w:tcPr>
            <w:tcW w:w="160" w:type="dxa"/>
            <w:vAlign w:val="bottom"/>
          </w:tcPr>
          <w:p>
            <w:pPr>
              <w:spacing w:after="0"/>
              <w:rPr>
                <w:sz w:val="20"/>
                <w:szCs w:val="20"/>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20"/>
                <w:szCs w:val="20"/>
                <w:color w:val="auto"/>
              </w:rPr>
            </w:pPr>
          </w:p>
        </w:tc>
        <w:tc>
          <w:tcPr>
            <w:tcW w:w="13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6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1280" w:type="dxa"/>
            <w:vAlign w:val="bottom"/>
            <w:tcBorders>
              <w:bottom w:val="single" w:sz="8" w:color="CCEEFF"/>
            </w:tcBorders>
          </w:tcPr>
          <w:p>
            <w:pPr>
              <w:spacing w:after="0"/>
              <w:rPr>
                <w:sz w:val="20"/>
                <w:szCs w:val="20"/>
                <w:color w:val="auto"/>
              </w:rPr>
            </w:pPr>
          </w:p>
        </w:tc>
        <w:tc>
          <w:tcPr>
            <w:tcW w:w="68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5"/>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Preferred stock, $0.0001 par value, authorized shares - 5,000, issued and outstanding - none</w:t>
            </w:r>
          </w:p>
        </w:tc>
        <w:tc>
          <w:tcPr>
            <w:tcW w:w="1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stock, $0.0001 par value, authorized shares - 100,000</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Issued shares - 52,299 and 51,770</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Outstanding shares - 45,817 and 45,414</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8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1,025,505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1,007,649</w:t>
            </w: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(659,207)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(481,671)</w:t>
            </w:r>
          </w:p>
        </w:tc>
        <w:tc>
          <w:tcPr>
            <w:tcW w:w="0" w:type="dxa"/>
            <w:vAlign w:val="bottom"/>
          </w:tcPr>
          <w:p>
            <w:pPr>
              <w:spacing w:after="0"/>
              <w:rPr>
                <w:sz w:val="1"/>
                <w:szCs w:val="1"/>
                <w:color w:val="auto"/>
              </w:rPr>
            </w:pPr>
          </w:p>
        </w:tc>
      </w:tr>
      <w:tr>
        <w:trPr>
          <w:trHeight w:val="229"/>
        </w:trPr>
        <w:tc>
          <w:tcPr>
            <w:tcW w:w="8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Treasury stock at cost - 6,482 and 6,356</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(169,616)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(166,345)</w:t>
            </w:r>
          </w:p>
        </w:tc>
        <w:tc>
          <w:tcPr>
            <w:tcW w:w="0" w:type="dxa"/>
            <w:vAlign w:val="bottom"/>
          </w:tcPr>
          <w:p>
            <w:pPr>
              <w:spacing w:after="0"/>
              <w:rPr>
                <w:sz w:val="1"/>
                <w:szCs w:val="1"/>
                <w:color w:val="auto"/>
              </w:rPr>
            </w:pPr>
          </w:p>
        </w:tc>
      </w:tr>
      <w:tr>
        <w:trPr>
          <w:trHeight w:val="223"/>
        </w:trPr>
        <w:tc>
          <w:tcPr>
            <w:tcW w:w="808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196,193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359,132</w:t>
            </w:r>
          </w:p>
        </w:tc>
        <w:tc>
          <w:tcPr>
            <w:tcW w:w="0" w:type="dxa"/>
            <w:vAlign w:val="bottom"/>
          </w:tcPr>
          <w:p>
            <w:pPr>
              <w:spacing w:after="0"/>
              <w:rPr>
                <w:sz w:val="1"/>
                <w:szCs w:val="1"/>
                <w:color w:val="auto"/>
              </w:rPr>
            </w:pPr>
          </w:p>
        </w:tc>
      </w:tr>
      <w:tr>
        <w:trPr>
          <w:trHeight w:val="248"/>
        </w:trPr>
        <w:tc>
          <w:tcPr>
            <w:tcW w:w="808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428,338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635,818</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6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32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27"/>
        </w:trPr>
        <w:tc>
          <w:tcPr>
            <w:tcW w:w="20" w:type="dxa"/>
            <w:vAlign w:val="bottom"/>
            <w:tcBorders>
              <w:top w:val="single" w:sz="8" w:color="0000FF"/>
            </w:tcBorders>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1920" w:type="dxa"/>
            <w:vAlign w:val="bottom"/>
          </w:tcPr>
          <w:p>
            <w:pPr>
              <w:spacing w:after="0"/>
              <w:rPr>
                <w:sz w:val="24"/>
                <w:szCs w:val="24"/>
                <w:color w:val="auto"/>
              </w:rPr>
            </w:pPr>
          </w:p>
        </w:tc>
        <w:tc>
          <w:tcPr>
            <w:tcW w:w="3840" w:type="dxa"/>
            <w:vAlign w:val="bottom"/>
            <w:gridSpan w:val="4"/>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9"/>
              </w:rPr>
              <w:t>Beyond, Inc.</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5280" w:type="dxa"/>
            <w:vAlign w:val="bottom"/>
            <w:gridSpan w:val="7"/>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Operations (Unaudited)</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840" w:type="dxa"/>
            <w:vAlign w:val="bottom"/>
            <w:gridSpan w:val="4"/>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data)</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8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80" w:type="dxa"/>
            <w:vAlign w:val="bottom"/>
          </w:tcPr>
          <w:p>
            <w:pPr>
              <w:spacing w:after="0"/>
              <w:rPr>
                <w:sz w:val="24"/>
                <w:szCs w:val="24"/>
                <w:color w:val="auto"/>
              </w:rPr>
            </w:pPr>
          </w:p>
        </w:tc>
        <w:tc>
          <w:tcPr>
            <w:tcW w:w="246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8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80" w:type="dxa"/>
            <w:vAlign w:val="bottom"/>
          </w:tcPr>
          <w:p>
            <w:pPr>
              <w:spacing w:after="0"/>
              <w:rPr>
                <w:sz w:val="20"/>
                <w:szCs w:val="20"/>
                <w:color w:val="auto"/>
              </w:rPr>
            </w:pPr>
          </w:p>
        </w:tc>
        <w:tc>
          <w:tcPr>
            <w:tcW w:w="246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920" w:type="dxa"/>
            <w:vAlign w:val="bottom"/>
            <w:tcBorders>
              <w:bottom w:val="single" w:sz="8" w:color="CCEEFF"/>
            </w:tcBorders>
          </w:tcPr>
          <w:p>
            <w:pPr>
              <w:spacing w:after="0"/>
              <w:rPr>
                <w:sz w:val="19"/>
                <w:szCs w:val="19"/>
                <w:color w:val="auto"/>
              </w:rPr>
            </w:pPr>
          </w:p>
        </w:tc>
        <w:tc>
          <w:tcPr>
            <w:tcW w:w="24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revenue</w:t>
            </w:r>
          </w:p>
        </w:tc>
        <w:tc>
          <w:tcPr>
            <w:tcW w:w="24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311,428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373,313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1,091,813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1,176,664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Cost of goods sold</w:t>
            </w:r>
          </w:p>
        </w:tc>
        <w:tc>
          <w:tcPr>
            <w:tcW w:w="24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245,453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290,410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871,311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884,508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profit</w:t>
            </w:r>
          </w:p>
        </w:tc>
        <w:tc>
          <w:tcPr>
            <w:tcW w:w="24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65,975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82,903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220,502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2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57,541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Technology</w:t>
            </w:r>
          </w:p>
        </w:tc>
        <w:tc>
          <w:tcPr>
            <w:tcW w:w="2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27,673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29,240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84,596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87,492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66,265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Customer service and merchant fees</w:t>
            </w:r>
          </w:p>
        </w:tc>
        <w:tc>
          <w:tcPr>
            <w:tcW w:w="24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12,943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41,374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109,528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123,833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368,581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345,699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2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(43,553)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(40,930)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(148,079)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2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4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(18,842)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(38,731)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(35,402)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(126,793)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(76,460)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(171,517)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4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(13,411)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(24,668)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8"/>
                <w:szCs w:val="18"/>
                <w:color w:val="auto"/>
              </w:rPr>
            </w:pPr>
          </w:p>
        </w:tc>
        <w:tc>
          <w:tcPr>
            <w:tcW w:w="318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w:t>
            </w:r>
          </w:p>
        </w:tc>
        <w:tc>
          <w:tcPr>
            <w:tcW w:w="24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(61,030)</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(63,049)</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(177,536)</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(146,849)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Net loss per share of common stock:</w:t>
            </w:r>
          </w:p>
        </w:tc>
        <w:tc>
          <w:tcPr>
            <w:tcW w:w="2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3180" w:type="dxa"/>
            <w:vAlign w:val="bottom"/>
            <w:gridSpan w:val="2"/>
            <w:vMerge w:val="continue"/>
          </w:tcPr>
          <w:p>
            <w:pPr>
              <w:spacing w:after="0"/>
              <w:rPr>
                <w:sz w:val="17"/>
                <w:szCs w:val="17"/>
                <w:color w:val="auto"/>
              </w:rPr>
            </w:pPr>
          </w:p>
        </w:tc>
        <w:tc>
          <w:tcPr>
            <w:tcW w:w="2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7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7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8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of common stock outstanding:</w:t>
            </w: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45,771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45,225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45,225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45,164</w:t>
            </w:r>
          </w:p>
        </w:tc>
        <w:tc>
          <w:tcPr>
            <w:tcW w:w="0" w:type="dxa"/>
            <w:vAlign w:val="bottom"/>
          </w:tcPr>
          <w:p>
            <w:pPr>
              <w:spacing w:after="0"/>
              <w:rPr>
                <w:sz w:val="1"/>
                <w:szCs w:val="1"/>
                <w:color w:val="auto"/>
              </w:rPr>
            </w:pPr>
          </w:p>
        </w:tc>
      </w:tr>
    </w:tbl>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727"/>
        </w:trPr>
        <w:tc>
          <w:tcPr>
            <w:tcW w:w="20" w:type="dxa"/>
            <w:vAlign w:val="bottom"/>
            <w:tcBorders>
              <w:top w:val="single" w:sz="8" w:color="0000FF"/>
            </w:tcBorders>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1540" w:type="dxa"/>
            <w:vAlign w:val="bottom"/>
          </w:tcPr>
          <w:p>
            <w:pPr>
              <w:spacing w:after="0"/>
              <w:rPr>
                <w:sz w:val="24"/>
                <w:szCs w:val="24"/>
                <w:color w:val="auto"/>
              </w:rPr>
            </w:pPr>
          </w:p>
        </w:tc>
        <w:tc>
          <w:tcPr>
            <w:tcW w:w="3360" w:type="dxa"/>
            <w:vAlign w:val="bottom"/>
            <w:gridSpan w:val="2"/>
          </w:tcPr>
          <w:p>
            <w:pPr>
              <w:jc w:val="center"/>
              <w:ind w:left="2150"/>
              <w:spacing w:after="0"/>
              <w:rPr>
                <w:sz w:val="20"/>
                <w:szCs w:val="20"/>
                <w:color w:val="auto"/>
              </w:rPr>
            </w:pPr>
            <w:r>
              <w:rPr>
                <w:rFonts w:ascii="Times New Roman" w:cs="Times New Roman" w:eastAsia="Times New Roman" w:hAnsi="Times New Roman"/>
                <w:sz w:val="18"/>
                <w:szCs w:val="18"/>
                <w:b w:val="1"/>
                <w:bCs w:val="1"/>
                <w:color w:val="auto"/>
                <w:w w:val="99"/>
              </w:rPr>
              <w:t>Beyond, Inc.</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660" w:type="dxa"/>
            <w:vAlign w:val="bottom"/>
            <w:gridSpan w:val="7"/>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 (Unaudited)</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360" w:type="dxa"/>
            <w:vAlign w:val="bottom"/>
            <w:gridSpan w:val="2"/>
          </w:tcPr>
          <w:p>
            <w:pPr>
              <w:jc w:val="center"/>
              <w:ind w:left="21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18"/>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300" w:type="dxa"/>
            <w:vAlign w:val="bottom"/>
            <w:gridSpan w:val="5"/>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80" w:type="dxa"/>
            <w:vAlign w:val="bottom"/>
          </w:tcPr>
          <w:p>
            <w:pPr>
              <w:spacing w:after="0"/>
              <w:rPr>
                <w:sz w:val="24"/>
                <w:szCs w:val="24"/>
                <w:color w:val="auto"/>
              </w:rPr>
            </w:pPr>
          </w:p>
        </w:tc>
        <w:tc>
          <w:tcPr>
            <w:tcW w:w="246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300" w:type="dxa"/>
            <w:vAlign w:val="bottom"/>
            <w:gridSpan w:val="5"/>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80" w:type="dxa"/>
            <w:vAlign w:val="bottom"/>
          </w:tcPr>
          <w:p>
            <w:pPr>
              <w:spacing w:after="0"/>
              <w:rPr>
                <w:sz w:val="20"/>
                <w:szCs w:val="20"/>
                <w:color w:val="auto"/>
              </w:rPr>
            </w:pPr>
          </w:p>
        </w:tc>
        <w:tc>
          <w:tcPr>
            <w:tcW w:w="246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5"/>
        </w:trPr>
        <w:tc>
          <w:tcPr>
            <w:tcW w:w="20" w:type="dxa"/>
            <w:vAlign w:val="bottom"/>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2800" w:type="dxa"/>
            <w:vAlign w:val="bottom"/>
            <w:tcBorders>
              <w:bottom w:val="single" w:sz="8" w:color="CCEEFF"/>
            </w:tcBorders>
          </w:tcPr>
          <w:p>
            <w:pPr>
              <w:spacing w:after="0"/>
              <w:rPr>
                <w:sz w:val="19"/>
                <w:szCs w:val="19"/>
                <w:color w:val="auto"/>
              </w:rPr>
            </w:pPr>
          </w:p>
        </w:tc>
        <w:tc>
          <w:tcPr>
            <w:tcW w:w="1320" w:type="dxa"/>
            <w:vAlign w:val="bottom"/>
            <w:tcBorders>
              <w:top w:val="single" w:sz="8" w:color="auto"/>
              <w:bottom w:val="single" w:sz="8" w:color="auto"/>
            </w:tcBorders>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20" w:type="dxa"/>
            <w:vAlign w:val="bottom"/>
          </w:tcPr>
          <w:p>
            <w:pPr>
              <w:spacing w:after="0"/>
              <w:rPr>
                <w:sz w:val="19"/>
                <w:szCs w:val="19"/>
                <w:color w:val="auto"/>
              </w:rPr>
            </w:pPr>
          </w:p>
        </w:tc>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(63,049)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(146,849)</w:t>
            </w:r>
          </w:p>
        </w:tc>
      </w:tr>
      <w:tr>
        <w:trPr>
          <w:trHeight w:val="230"/>
        </w:trPr>
        <w:tc>
          <w:tcPr>
            <w:tcW w:w="20" w:type="dxa"/>
            <w:vAlign w:val="bottom"/>
          </w:tcPr>
          <w:p>
            <w:pPr>
              <w:spacing w:after="0"/>
              <w:rPr>
                <w:sz w:val="19"/>
                <w:szCs w:val="19"/>
                <w:color w:val="auto"/>
              </w:rPr>
            </w:pPr>
          </w:p>
        </w:tc>
        <w:tc>
          <w:tcPr>
            <w:tcW w:w="2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175"/>
        </w:trPr>
        <w:tc>
          <w:tcPr>
            <w:tcW w:w="20" w:type="dxa"/>
            <w:vAlign w:val="bottom"/>
          </w:tcPr>
          <w:p>
            <w:pPr>
              <w:spacing w:after="0"/>
              <w:rPr>
                <w:sz w:val="15"/>
                <w:szCs w:val="15"/>
                <w:color w:val="auto"/>
              </w:rPr>
            </w:pPr>
          </w:p>
        </w:tc>
        <w:tc>
          <w:tcPr>
            <w:tcW w:w="6160" w:type="dxa"/>
            <w:vAlign w:val="bottom"/>
            <w:gridSpan w:val="4"/>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Unrealized gain on cash flow hedges, net of expense for taxes of $0, $0,</w:t>
            </w: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2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$0, and $0</w:t>
            </w:r>
          </w:p>
        </w:tc>
        <w:tc>
          <w:tcPr>
            <w:tcW w:w="280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20" w:type="dxa"/>
            <w:vAlign w:val="bottom"/>
          </w:tcPr>
          <w:p>
            <w:pPr>
              <w:spacing w:after="0"/>
              <w:rPr>
                <w:sz w:val="19"/>
                <w:szCs w:val="19"/>
                <w:color w:val="auto"/>
              </w:rPr>
            </w:pPr>
          </w:p>
        </w:tc>
        <w:tc>
          <w:tcPr>
            <w:tcW w:w="28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8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48"/>
        </w:trPr>
        <w:tc>
          <w:tcPr>
            <w:tcW w:w="20" w:type="dxa"/>
            <w:vAlign w:val="bottom"/>
          </w:tcPr>
          <w:p>
            <w:pPr>
              <w:spacing w:after="0"/>
              <w:rPr>
                <w:sz w:val="21"/>
                <w:szCs w:val="21"/>
                <w:color w:val="auto"/>
              </w:rPr>
            </w:pPr>
          </w:p>
        </w:tc>
        <w:tc>
          <w:tcPr>
            <w:tcW w:w="2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28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(63,045)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(146,837)</w:t>
            </w: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Beyond, Inc.</w:t>
      </w:r>
    </w:p>
    <w:p>
      <w:pPr>
        <w:jc w:val="center"/>
        <w:ind w:right="-19"/>
        <w:spacing w:after="0" w:line="219" w:lineRule="auto"/>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 (Unaudited)</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8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80" w:type="dxa"/>
            <w:vAlign w:val="bottom"/>
          </w:tcPr>
          <w:p>
            <w:pPr>
              <w:spacing w:after="0"/>
              <w:rPr>
                <w:sz w:val="17"/>
                <w:szCs w:val="17"/>
                <w:color w:val="auto"/>
              </w:rPr>
            </w:pPr>
          </w:p>
        </w:tc>
        <w:tc>
          <w:tcPr>
            <w:tcW w:w="246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5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8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80" w:type="dxa"/>
            <w:vAlign w:val="bottom"/>
          </w:tcPr>
          <w:p>
            <w:pPr>
              <w:spacing w:after="0"/>
              <w:rPr>
                <w:sz w:val="20"/>
                <w:szCs w:val="20"/>
                <w:color w:val="auto"/>
              </w:rPr>
            </w:pPr>
          </w:p>
        </w:tc>
        <w:tc>
          <w:tcPr>
            <w:tcW w:w="246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5"/>
        </w:trPr>
        <w:tc>
          <w:tcPr>
            <w:tcW w:w="56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Equity attributable to stockholders of Beyond, Inc.</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5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Shares of common stock issued</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51,455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51,102</w:t>
            </w:r>
          </w:p>
        </w:tc>
      </w:tr>
      <w:tr>
        <w:trPr>
          <w:trHeight w:val="229"/>
        </w:trPr>
        <w:tc>
          <w:tcPr>
            <w:tcW w:w="5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Common stock issued upon vesting of restricted stock</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r>
      <w:tr>
        <w:trPr>
          <w:trHeight w:val="229"/>
        </w:trPr>
        <w:tc>
          <w:tcPr>
            <w:tcW w:w="5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Common stock issued for ESPP purchases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23"/>
        </w:trPr>
        <w:tc>
          <w:tcPr>
            <w:tcW w:w="5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52,299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51,585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52,299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51,585</w:t>
            </w:r>
          </w:p>
        </w:tc>
      </w:tr>
      <w:tr>
        <w:trPr>
          <w:trHeight w:val="209"/>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Shares of treasury stock</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5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6,151</w:t>
            </w:r>
          </w:p>
        </w:tc>
      </w:tr>
      <w:tr>
        <w:trPr>
          <w:trHeight w:val="229"/>
        </w:trPr>
        <w:tc>
          <w:tcPr>
            <w:tcW w:w="5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Tax withholding upon vesting of employee stock awards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23"/>
        </w:trPr>
        <w:tc>
          <w:tcPr>
            <w:tcW w:w="5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6,280</w:t>
            </w:r>
          </w:p>
        </w:tc>
      </w:tr>
      <w:tr>
        <w:trPr>
          <w:trHeight w:val="223"/>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shares of common stock outstanding</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45,305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45,305</w:t>
            </w:r>
          </w:p>
        </w:tc>
      </w:tr>
      <w:tr>
        <w:trPr>
          <w:trHeight w:val="230"/>
        </w:trPr>
        <w:tc>
          <w:tcPr>
            <w:tcW w:w="5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stock</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70"/>
        </w:trPr>
        <w:tc>
          <w:tcPr>
            <w:tcW w:w="56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29"/>
        </w:trPr>
        <w:tc>
          <w:tcPr>
            <w:tcW w:w="5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Preferred stock</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6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29"/>
        </w:trPr>
        <w:tc>
          <w:tcPr>
            <w:tcW w:w="5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1,018,619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995,904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1,007,649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982,718</w:t>
            </w:r>
          </w:p>
        </w:tc>
      </w:tr>
      <w:tr>
        <w:trPr>
          <w:trHeight w:val="229"/>
        </w:trPr>
        <w:tc>
          <w:tcPr>
            <w:tcW w:w="5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 to employees and directors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17,863</w:t>
            </w:r>
          </w:p>
        </w:tc>
      </w:tr>
      <w:tr>
        <w:trPr>
          <w:trHeight w:val="230"/>
        </w:trPr>
        <w:tc>
          <w:tcPr>
            <w:tcW w:w="5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Common stock issued for ESPP purchases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w:t>
            </w:r>
          </w:p>
        </w:tc>
      </w:tr>
      <w:tr>
        <w:trPr>
          <w:trHeight w:val="223"/>
        </w:trPr>
        <w:tc>
          <w:tcPr>
            <w:tcW w:w="5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1,025,505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1,002,494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1,025,505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1,002,494</w:t>
            </w:r>
          </w:p>
        </w:tc>
      </w:tr>
      <w:tr>
        <w:trPr>
          <w:trHeight w:val="210"/>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5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(598,177)</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(257,629)</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(481,671)</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(173,829)</w:t>
            </w:r>
          </w:p>
        </w:tc>
      </w:tr>
      <w:tr>
        <w:trPr>
          <w:trHeight w:val="229"/>
        </w:trPr>
        <w:tc>
          <w:tcPr>
            <w:tcW w:w="5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(61,030)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(63,049)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(177,536)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(146,849)</w:t>
            </w:r>
          </w:p>
        </w:tc>
      </w:tr>
      <w:tr>
        <w:trPr>
          <w:trHeight w:val="223"/>
        </w:trPr>
        <w:tc>
          <w:tcPr>
            <w:tcW w:w="5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(659,207)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(320,678)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(659,207)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(320,678)</w:t>
            </w:r>
          </w:p>
        </w:tc>
      </w:tr>
      <w:tr>
        <w:trPr>
          <w:trHeight w:val="209"/>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5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r>
      <w:tr>
        <w:trPr>
          <w:trHeight w:val="230"/>
        </w:trPr>
        <w:tc>
          <w:tcPr>
            <w:tcW w:w="5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other comprehensive income</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5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w:t>
            </w:r>
          </w:p>
        </w:tc>
      </w:tr>
      <w:tr>
        <w:trPr>
          <w:trHeight w:val="210"/>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Treasury stock</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5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(169,595)</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(164,600)</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(166,345)</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(162,546)</w:t>
            </w:r>
          </w:p>
        </w:tc>
      </w:tr>
      <w:tr>
        <w:trPr>
          <w:trHeight w:val="229"/>
        </w:trPr>
        <w:tc>
          <w:tcPr>
            <w:tcW w:w="5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Tax withholding upon vesting of employee stock awards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w:t>
            </w:r>
          </w:p>
        </w:tc>
      </w:tr>
      <w:tr>
        <w:trPr>
          <w:trHeight w:val="223"/>
        </w:trPr>
        <w:tc>
          <w:tcPr>
            <w:tcW w:w="5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(169,616)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(165,127)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(169,616)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(165,127)</w:t>
            </w:r>
          </w:p>
        </w:tc>
      </w:tr>
      <w:tr>
        <w:trPr>
          <w:trHeight w:val="248"/>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516,184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516,184</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80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6"/>
        </w:trPr>
        <w:tc>
          <w:tcPr>
            <w:tcW w:w="20" w:type="dxa"/>
            <w:vAlign w:val="bottom"/>
            <w:tcBorders>
              <w:top w:val="single" w:sz="8" w:color="0000FF"/>
            </w:tcBorders>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6780" w:type="dxa"/>
            <w:vAlign w:val="bottom"/>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w w:val="99"/>
              </w:rPr>
              <w:t>Beyond, Inc.</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780" w:type="dxa"/>
            <w:vAlign w:val="bottom"/>
          </w:tcPr>
          <w:p>
            <w:pPr>
              <w:jc w:val="center"/>
              <w:ind w:left="1810"/>
              <w:spacing w:after="0" w:line="180" w:lineRule="exact"/>
              <w:rPr>
                <w:sz w:val="20"/>
                <w:szCs w:val="20"/>
                <w:color w:val="auto"/>
              </w:rPr>
            </w:pPr>
            <w:r>
              <w:rPr>
                <w:rFonts w:ascii="Times New Roman" w:cs="Times New Roman" w:eastAsia="Times New Roman" w:hAnsi="Times New Roman"/>
                <w:sz w:val="18"/>
                <w:szCs w:val="18"/>
                <w:b w:val="1"/>
                <w:bCs w:val="1"/>
                <w:color w:val="auto"/>
                <w:w w:val="99"/>
              </w:rPr>
              <w:t>Consolidated Statements of Cash Flows (Unaudited)</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780" w:type="dxa"/>
            <w:vAlign w:val="bottom"/>
          </w:tcPr>
          <w:p>
            <w:pPr>
              <w:jc w:val="center"/>
              <w:ind w:left="18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60" w:type="dxa"/>
            <w:vAlign w:val="bottom"/>
          </w:tcPr>
          <w:p>
            <w:pPr>
              <w:spacing w:after="0"/>
              <w:rPr>
                <w:sz w:val="20"/>
                <w:szCs w:val="20"/>
                <w:color w:val="auto"/>
              </w:rPr>
            </w:pPr>
          </w:p>
        </w:tc>
        <w:tc>
          <w:tcPr>
            <w:tcW w:w="2800" w:type="dxa"/>
            <w:vAlign w:val="bottom"/>
            <w:gridSpan w:val="4"/>
            <w:vMerge w:val="restart"/>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67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(177,536)</w:t>
            </w:r>
          </w:p>
        </w:tc>
        <w:tc>
          <w:tcPr>
            <w:tcW w:w="10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(146,849)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loss to net cash (used in) provided by operating activities: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Non-cash operating lease cost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Stock-based compensation to employees and directors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(Increase) decrease in deferred income taxes, net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Gain on sale of intangible assets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Write-down of assets held for sale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Loss from equity method securities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43,405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126,966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non-cash adjustments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Accounts receivable, net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Inventories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Other long-term assets, net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Accrued liabilities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(19,372)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Unearned revenue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tcBorders>
              <w:bottom w:val="single" w:sz="8" w:color="CCEEFF"/>
            </w:tcBorders>
            <w:gridSpan w:val="2"/>
          </w:tcPr>
          <w:p>
            <w:pPr>
              <w:ind w:left="66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(152,625)</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Proceeds from the sale of intangible assets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Expenditures for property and equipment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Disbursement for notes receivable</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Other investing activities, net</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(6,546)</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(51,759)</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Payments of taxes withheld upon vesting of employee stock awards</w:t>
            </w: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(3,271)</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Other financing activities, net</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(161,252)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302,749</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371,457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141,497</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325,473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Beyond,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w:t>
      </w:r>
    </w:p>
    <w:p>
      <w:pPr>
        <w:spacing w:after="0" w:line="256"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Beyond, Inc. is an asset-light ecommerce company that owns or has ownership interests in various retail brands and has created a cooperative affinity model, with the aim of offering a comprehensive array of products and services that enable its customers to unlock their homes' potential through its vast data cooperative. We currently own Overstock, Bed Bath &amp; Beyond, Baby &amp; Beyond, Zulily, and other related brands and associated intellectual property.</w:t>
      </w:r>
    </w:p>
    <w:p>
      <w:pPr>
        <w:spacing w:after="0" w:line="207"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As used herein, "Beyond," "the Company," "we," "our" and similar terms include Beyond, Inc. and its controlled subsidiaries, unless the context indicates otherwise.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254"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We have prepared the accompanying unaudited consolidated financial statements pursuant to the rules and regulations of the Securities and Exchange Commission ("SEC") regarding interim financial reporting. Accordingly, certain information and footnote disclosures normally included in financial statements prepared in accordance with accounting principles generally accepted in the United States ("GAAP") have been omitted in accordance with the rules and regulations of the SEC. These financial statements should be read in conjunction with our audited annual consolidated financial statements and related notes included in our Annual Report on Form 10-K for the year ended December 31, 2023. There have been no significant changes to our significant accounting policies disclosed in Note 2—Accounting Policies and Supplemental Disclosures, included in Part II, Item 8, Financial Statements and Supplementary Data, of our Annual Report on Form 10-K for the year ended December 31, 2023, except as disclosed below.</w:t>
      </w:r>
    </w:p>
    <w:p>
      <w:pPr>
        <w:spacing w:after="0" w:line="21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include our accounts and the accounts of our wholly-owned subsidiaries and reflect all adjustments, consisting only of normal recurring adjustments, which are, in our opinion, necessary for a fair presentation of results for the interim periods presented. All intercompany account balances and transactions have been eliminated in consolidation. The results of operations for the three and nine months ended September 30, 2024, are not necessarily indicative of the results to be expected for any future period or the full fiscal year, due to seasonality and other factors.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estimates and assumptions that affect the reported amounts of assets and liabilities, revenues and expenses, and related disclosures of contingent liabilities in our consolidated financial statements and accompanying notes. Estimates are used for, but not limited to, receivables valuation, revenue recognition, loyalty program reward point and gift card breakage, sales returns, inventory valuation, asset useful lives, equity and debt securities valuation, income taxes, stock-based compensation, performance-based compensation, self-funded health insurance liabilities, and contingencies. Although these estimates are based on our best knowledge of current events and actions that we may undertake in the future, our accounting of these estimates may change from period to period. To the extent there are differences between these estimates and actual results, our consolidated financial statements may be materially affected.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presentation in the income statement</w:t>
      </w:r>
    </w:p>
    <w:p>
      <w:pPr>
        <w:spacing w:after="0" w:line="254"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In the first quarter of fiscal 2024, the Company changed the presentation for merchant fees associated with customer payments made by credit cards and other payment methods and customer service costs. Under the new presentation, the Company includes such expenses in a separate line in operating expenses labeled, "Customer service and merchant fees", whereas previously, these expenses were included in Cost of goods sold.</w:t>
      </w:r>
    </w:p>
    <w:p>
      <w:pPr>
        <w:spacing w:after="0" w:line="203"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Company concluded that such a change in presentation is preferable in the circumstances because the treatment of these costs as operating expenses is aligned with the changes in business and strategy. The change will also provide greater transparency in the Company's external disclosures and related communications with the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This change in accounting policy has been applied retrospectively, and the unaudited consolidated statements of operations reflect the effect of this accounting principle change for all periods presented. This change in presentation had no impact on Loss before income taxes, Net loss, or Net loss per share of common stock basic or diluted. The consolidated balance sheets, consolidated statements of comprehensive loss, consolidated statements of changes in stockholders' equity, and consolidated statements of cash flows were not impacted by this accounting policy change.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 in presentation to the Company's unaudited consolidated statements of operations were as follows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gridSpan w:val="7"/>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 2023</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gridSpan w:val="7"/>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 2023</w:t>
            </w:r>
          </w:p>
        </w:tc>
        <w:tc>
          <w:tcPr>
            <w:tcW w:w="0" w:type="dxa"/>
            <w:vAlign w:val="bottom"/>
          </w:tcPr>
          <w:p>
            <w:pPr>
              <w:spacing w:after="0"/>
              <w:rPr>
                <w:sz w:val="1"/>
                <w:szCs w:val="1"/>
                <w:color w:val="auto"/>
              </w:rPr>
            </w:pPr>
          </w:p>
        </w:tc>
      </w:tr>
      <w:tr>
        <w:trPr>
          <w:trHeight w:val="169"/>
        </w:trPr>
        <w:tc>
          <w:tcPr>
            <w:tcW w:w="3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w w:val="98"/>
              </w:rPr>
              <w:t>Previously</w:t>
            </w:r>
          </w:p>
        </w:tc>
        <w:tc>
          <w:tcPr>
            <w:tcW w:w="200" w:type="dxa"/>
            <w:vAlign w:val="bottom"/>
          </w:tcPr>
          <w:p>
            <w:pPr>
              <w:spacing w:after="0"/>
              <w:rPr>
                <w:sz w:val="14"/>
                <w:szCs w:val="14"/>
                <w:color w:val="auto"/>
              </w:rPr>
            </w:pPr>
          </w:p>
        </w:tc>
        <w:tc>
          <w:tcPr>
            <w:tcW w:w="1140" w:type="dxa"/>
            <w:vAlign w:val="bottom"/>
            <w:gridSpan w:val="2"/>
          </w:tcPr>
          <w:p>
            <w:pPr>
              <w:jc w:val="center"/>
              <w:ind w:right="300"/>
              <w:spacing w:after="0" w:line="169" w:lineRule="exact"/>
              <w:rPr>
                <w:sz w:val="20"/>
                <w:szCs w:val="20"/>
                <w:color w:val="auto"/>
              </w:rPr>
            </w:pPr>
            <w:r>
              <w:rPr>
                <w:rFonts w:ascii="Times New Roman" w:cs="Times New Roman" w:eastAsia="Times New Roman" w:hAnsi="Times New Roman"/>
                <w:sz w:val="18"/>
                <w:szCs w:val="18"/>
                <w:b w:val="1"/>
                <w:bCs w:val="1"/>
                <w:color w:val="auto"/>
                <w:w w:val="97"/>
              </w:rPr>
              <w:t>Effect of</w:t>
            </w:r>
          </w:p>
        </w:tc>
        <w:tc>
          <w:tcPr>
            <w:tcW w:w="140" w:type="dxa"/>
            <w:vAlign w:val="bottom"/>
          </w:tcPr>
          <w:p>
            <w:pPr>
              <w:spacing w:after="0"/>
              <w:rPr>
                <w:sz w:val="14"/>
                <w:szCs w:val="14"/>
                <w:color w:val="auto"/>
              </w:rPr>
            </w:pP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 adjusted</w:t>
            </w:r>
          </w:p>
        </w:tc>
        <w:tc>
          <w:tcPr>
            <w:tcW w:w="160" w:type="dxa"/>
            <w:vAlign w:val="bottom"/>
          </w:tcPr>
          <w:p>
            <w:pPr>
              <w:spacing w:after="0"/>
              <w:rPr>
                <w:sz w:val="14"/>
                <w:szCs w:val="14"/>
                <w:color w:val="auto"/>
              </w:rPr>
            </w:pPr>
          </w:p>
        </w:tc>
        <w:tc>
          <w:tcPr>
            <w:tcW w:w="1180" w:type="dxa"/>
            <w:vAlign w:val="bottom"/>
            <w:gridSpan w:val="2"/>
          </w:tcPr>
          <w:p>
            <w:pPr>
              <w:jc w:val="center"/>
              <w:ind w:right="280"/>
              <w:spacing w:after="0" w:line="169" w:lineRule="exact"/>
              <w:rPr>
                <w:sz w:val="20"/>
                <w:szCs w:val="20"/>
                <w:color w:val="auto"/>
              </w:rPr>
            </w:pPr>
            <w:r>
              <w:rPr>
                <w:rFonts w:ascii="Times New Roman" w:cs="Times New Roman" w:eastAsia="Times New Roman" w:hAnsi="Times New Roman"/>
                <w:sz w:val="18"/>
                <w:szCs w:val="18"/>
                <w:b w:val="1"/>
                <w:bCs w:val="1"/>
                <w:color w:val="auto"/>
              </w:rPr>
              <w:t>Previously</w:t>
            </w:r>
          </w:p>
        </w:tc>
        <w:tc>
          <w:tcPr>
            <w:tcW w:w="200" w:type="dxa"/>
            <w:vAlign w:val="bottom"/>
          </w:tcPr>
          <w:p>
            <w:pPr>
              <w:spacing w:after="0"/>
              <w:rPr>
                <w:sz w:val="14"/>
                <w:szCs w:val="14"/>
                <w:color w:val="auto"/>
              </w:rPr>
            </w:pPr>
          </w:p>
        </w:tc>
        <w:tc>
          <w:tcPr>
            <w:tcW w:w="1140" w:type="dxa"/>
            <w:vAlign w:val="bottom"/>
            <w:gridSpan w:val="2"/>
          </w:tcPr>
          <w:p>
            <w:pPr>
              <w:jc w:val="center"/>
              <w:ind w:right="320"/>
              <w:spacing w:after="0" w:line="169" w:lineRule="exact"/>
              <w:rPr>
                <w:sz w:val="20"/>
                <w:szCs w:val="20"/>
                <w:color w:val="auto"/>
              </w:rPr>
            </w:pPr>
            <w:r>
              <w:rPr>
                <w:rFonts w:ascii="Times New Roman" w:cs="Times New Roman" w:eastAsia="Times New Roman" w:hAnsi="Times New Roman"/>
                <w:sz w:val="18"/>
                <w:szCs w:val="18"/>
                <w:b w:val="1"/>
                <w:bCs w:val="1"/>
                <w:color w:val="auto"/>
              </w:rPr>
              <w:t>Effect of</w:t>
            </w:r>
          </w:p>
        </w:tc>
        <w:tc>
          <w:tcPr>
            <w:tcW w:w="120" w:type="dxa"/>
            <w:vAlign w:val="bottom"/>
          </w:tcPr>
          <w:p>
            <w:pPr>
              <w:spacing w:after="0"/>
              <w:rPr>
                <w:sz w:val="14"/>
                <w:szCs w:val="14"/>
                <w:color w:val="auto"/>
              </w:rPr>
            </w:pPr>
          </w:p>
        </w:tc>
        <w:tc>
          <w:tcPr>
            <w:tcW w:w="110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adjusted</w:t>
            </w:r>
          </w:p>
        </w:tc>
        <w:tc>
          <w:tcPr>
            <w:tcW w:w="0" w:type="dxa"/>
            <w:vAlign w:val="bottom"/>
          </w:tcPr>
          <w:p>
            <w:pPr>
              <w:spacing w:after="0"/>
              <w:rPr>
                <w:sz w:val="1"/>
                <w:szCs w:val="1"/>
                <w:color w:val="auto"/>
              </w:rPr>
            </w:pPr>
          </w:p>
        </w:tc>
      </w:tr>
      <w:tr>
        <w:trPr>
          <w:trHeight w:val="243"/>
        </w:trPr>
        <w:tc>
          <w:tcPr>
            <w:tcW w:w="3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reported</w:t>
            </w:r>
          </w:p>
        </w:tc>
        <w:tc>
          <w:tcPr>
            <w:tcW w:w="200" w:type="dxa"/>
            <w:vAlign w:val="bottom"/>
          </w:tcPr>
          <w:p>
            <w:pPr>
              <w:spacing w:after="0"/>
              <w:rPr>
                <w:sz w:val="21"/>
                <w:szCs w:val="21"/>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change</w:t>
            </w:r>
          </w:p>
        </w:tc>
        <w:tc>
          <w:tcPr>
            <w:tcW w:w="140" w:type="dxa"/>
            <w:vAlign w:val="bottom"/>
          </w:tcPr>
          <w:p>
            <w:pPr>
              <w:spacing w:after="0"/>
              <w:rPr>
                <w:sz w:val="21"/>
                <w:szCs w:val="21"/>
                <w:color w:val="auto"/>
              </w:rPr>
            </w:pPr>
          </w:p>
        </w:tc>
        <w:tc>
          <w:tcPr>
            <w:tcW w:w="120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reported</w:t>
            </w:r>
          </w:p>
        </w:tc>
        <w:tc>
          <w:tcPr>
            <w:tcW w:w="200" w:type="dxa"/>
            <w:vAlign w:val="bottom"/>
          </w:tcPr>
          <w:p>
            <w:pPr>
              <w:spacing w:after="0"/>
              <w:rPr>
                <w:sz w:val="21"/>
                <w:szCs w:val="21"/>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change</w:t>
            </w:r>
          </w:p>
        </w:tc>
        <w:tc>
          <w:tcPr>
            <w:tcW w:w="12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303,353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7"/>
              </w:rPr>
              <w:t>(12,943)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290,410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922,619</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7"/>
              </w:rPr>
              <w:t>(38,111)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884,508</w:t>
            </w: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12,943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254,045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6"/>
              </w:rPr>
              <w:t>38,111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292,156</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service and merchant fees</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rPr>
              <w:t>12,943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6"/>
              </w:rPr>
              <w:t>38,111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38,111</w:t>
            </w:r>
          </w:p>
        </w:tc>
        <w:tc>
          <w:tcPr>
            <w:tcW w:w="0" w:type="dxa"/>
            <w:vAlign w:val="bottom"/>
          </w:tcPr>
          <w:p>
            <w:pPr>
              <w:spacing w:after="0"/>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w:t>
      </w:r>
    </w:p>
    <w:p>
      <w:pPr>
        <w:spacing w:after="0" w:line="252" w:lineRule="exact"/>
        <w:rPr>
          <w:sz w:val="20"/>
          <w:szCs w:val="20"/>
          <w:color w:val="auto"/>
        </w:rPr>
      </w:pPr>
    </w:p>
    <w:p>
      <w:pPr>
        <w:ind w:right="140"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which requires public entities to disclose information about their reportable segments' significant expenses and other segment items on an interim and annual basis. For public entities, ASU 2023-07 is required to be adopted for annual periods beginning after December 15, 2023, and for interim periods within fiscal years beginning after December 15, 2024, with early adoption permitted. The Company is currently evaluating the impact of the adoption of this ASU on our consolidated financial statements and related disclosures. This ASU will likely result in us including the additional required disclosures when adopted.</w:t>
      </w:r>
    </w:p>
    <w:p>
      <w:pPr>
        <w:spacing w:after="0" w:line="20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which requires public entities to disclose disaggregated information about a reporting entity's effective tax rate reconciliation as well as additional information on income taxes paid. For public entities, ASU 2023-09 is required to be adopted for annual periods beginning after December 15, 2024, with early adoption permitted. The Company is currently evaluating the impact of the adoption of this ASU on our consolidated financial statements and related disclosures. This ASU will likely result in us including the additional required disclosures when adopted.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w:t>
      </w:r>
    </w:p>
    <w:p>
      <w:pPr>
        <w:spacing w:after="0" w:line="256"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summarize our assets and liabilities measured at fair value on a recurring basis using the following levels of inputs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000" w:type="dxa"/>
            <w:vAlign w:val="bottom"/>
            <w:tcBorders>
              <w:bottom w:val="single" w:sz="8" w:color="auto"/>
            </w:tcBorders>
            <w:gridSpan w:val="8"/>
          </w:tcPr>
          <w:p>
            <w:pPr>
              <w:ind w:left="660"/>
              <w:spacing w:after="0"/>
              <w:rPr>
                <w:sz w:val="20"/>
                <w:szCs w:val="20"/>
                <w:color w:val="auto"/>
              </w:rPr>
            </w:pPr>
            <w:r>
              <w:rPr>
                <w:rFonts w:ascii="Times New Roman" w:cs="Times New Roman" w:eastAsia="Times New Roman" w:hAnsi="Times New Roman"/>
                <w:sz w:val="18"/>
                <w:szCs w:val="18"/>
                <w:b w:val="1"/>
                <w:bCs w:val="1"/>
                <w:color w:val="auto"/>
                <w:w w:val="99"/>
              </w:rPr>
              <w:t>Fair Value Measurements at September 30,</w:t>
            </w:r>
          </w:p>
        </w:tc>
        <w:tc>
          <w:tcPr>
            <w:tcW w:w="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940" w:type="dxa"/>
            <w:vAlign w:val="bottom"/>
            <w:tcBorders>
              <w:bottom w:val="single" w:sz="8" w:color="auto"/>
            </w:tcBorders>
          </w:tcPr>
          <w:p>
            <w:pPr>
              <w:spacing w:after="0"/>
              <w:rPr>
                <w:sz w:val="20"/>
                <w:szCs w:val="20"/>
                <w:color w:val="auto"/>
              </w:rPr>
            </w:pPr>
          </w:p>
        </w:tc>
      </w:tr>
      <w:tr>
        <w:trPr>
          <w:trHeight w:val="223"/>
        </w:trPr>
        <w:tc>
          <w:tcPr>
            <w:tcW w:w="5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spacing w:after="0"/>
              <w:rPr>
                <w:sz w:val="19"/>
                <w:szCs w:val="19"/>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19"/>
                <w:szCs w:val="19"/>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80" w:type="dxa"/>
            <w:vAlign w:val="bottom"/>
          </w:tcPr>
          <w:p>
            <w:pPr>
              <w:spacing w:after="0"/>
              <w:rPr>
                <w:sz w:val="19"/>
                <w:szCs w:val="19"/>
                <w:color w:val="auto"/>
              </w:rPr>
            </w:pPr>
          </w:p>
        </w:tc>
        <w:tc>
          <w:tcPr>
            <w:tcW w:w="9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7"/>
              </w:rPr>
              <w:t>Level 3</w:t>
            </w:r>
          </w:p>
        </w:tc>
      </w:tr>
      <w:tr>
        <w:trPr>
          <w:trHeight w:val="223"/>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r>
      <w:tr>
        <w:trPr>
          <w:trHeight w:val="230"/>
        </w:trPr>
        <w:tc>
          <w:tcPr>
            <w:tcW w:w="5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equivalents—Money market funds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46,374</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46,374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securities, at fair value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21,500</w:t>
            </w:r>
          </w:p>
        </w:tc>
      </w:tr>
      <w:tr>
        <w:trPr>
          <w:trHeight w:val="229"/>
        </w:trPr>
        <w:tc>
          <w:tcPr>
            <w:tcW w:w="5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Available-for-sale debt securities (1)</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10,859</w:t>
            </w:r>
          </w:p>
        </w:tc>
      </w:tr>
      <w:tr>
        <w:trPr>
          <w:trHeight w:val="248"/>
        </w:trPr>
        <w:tc>
          <w:tcPr>
            <w:tcW w:w="56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32,359</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36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 Measurements at December 31, 2023</w:t>
            </w:r>
          </w:p>
        </w:tc>
        <w:tc>
          <w:tcPr>
            <w:tcW w:w="960" w:type="dxa"/>
            <w:vAlign w:val="bottom"/>
            <w:tcBorders>
              <w:bottom w:val="single" w:sz="8" w:color="auto"/>
            </w:tcBorders>
          </w:tcPr>
          <w:p>
            <w:pPr>
              <w:spacing w:after="0"/>
              <w:rPr>
                <w:sz w:val="20"/>
                <w:szCs w:val="20"/>
                <w:color w:val="auto"/>
              </w:rPr>
            </w:pPr>
          </w:p>
        </w:tc>
      </w:tr>
      <w:tr>
        <w:trPr>
          <w:trHeight w:val="223"/>
        </w:trPr>
        <w:tc>
          <w:tcPr>
            <w:tcW w:w="5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spacing w:after="0"/>
              <w:rPr>
                <w:sz w:val="19"/>
                <w:szCs w:val="19"/>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19"/>
                <w:szCs w:val="19"/>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60" w:type="dxa"/>
            <w:vAlign w:val="bottom"/>
          </w:tcPr>
          <w:p>
            <w:pPr>
              <w:spacing w:after="0"/>
              <w:rPr>
                <w:sz w:val="19"/>
                <w:szCs w:val="19"/>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23"/>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r>
      <w:tr>
        <w:trPr>
          <w:trHeight w:val="229"/>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equivalents—Money market funds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246,425</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246,425</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securities, at fair value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41,046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41,046</w:t>
            </w:r>
          </w:p>
        </w:tc>
      </w:tr>
      <w:tr>
        <w:trPr>
          <w:trHeight w:val="230"/>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Available-for-sale debt securities (1)</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10,484</w:t>
            </w:r>
          </w:p>
        </w:tc>
      </w:tr>
      <w:tr>
        <w:trPr>
          <w:trHeight w:val="229"/>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Trading securities held in a "rabbi trust" (1)</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298,451</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246,921</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51,530</w:t>
            </w: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03"/>
        </w:trPr>
        <w:tc>
          <w:tcPr>
            <w:tcW w:w="5620" w:type="dxa"/>
            <w:vAlign w:val="bottom"/>
            <w:tcBorders>
              <w:bottom w:val="single" w:sz="8" w:color="CCEEFF"/>
            </w:tcBorders>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color w:val="auto"/>
              </w:rPr>
              <w:t>Liabilities:</w:t>
            </w: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r>
      <w:tr>
        <w:trPr>
          <w:trHeight w:val="229"/>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compensation accrual "rabbi trust" (2)</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6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w:t>
      </w:r>
    </w:p>
    <w:p>
      <w:pPr>
        <w:spacing w:after="0" w:line="117" w:lineRule="exact"/>
        <w:rPr>
          <w:sz w:val="20"/>
          <w:szCs w:val="20"/>
          <w:color w:val="auto"/>
        </w:rPr>
      </w:pPr>
    </w:p>
    <w:p>
      <w:pPr>
        <w:ind w:left="1040" w:hanging="384"/>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Prepaids and other current assets and Other long-term assets, net in the consolidated balance sheets.</w:t>
      </w:r>
    </w:p>
    <w:p>
      <w:pPr>
        <w:spacing w:after="0" w:line="2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Accrued liabilities in the consolidated balance sheets.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provides activity for our Level 3 investments (in thousands):</w:t>
            </w:r>
          </w:p>
        </w:tc>
        <w:tc>
          <w:tcPr>
            <w:tcW w:w="44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51"/>
        </w:trPr>
        <w:tc>
          <w:tcPr>
            <w:tcW w:w="906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23"/>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Level 3 investments at December 31, 2022</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82,787</w:t>
            </w:r>
          </w:p>
        </w:tc>
      </w:tr>
      <w:tr>
        <w:trPr>
          <w:trHeight w:val="230"/>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due to purchases of Level 3 investments</w:t>
            </w: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3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 fair value of Level 3 investments</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(41,741)</w:t>
            </w:r>
          </w:p>
        </w:tc>
      </w:tr>
      <w:tr>
        <w:trPr>
          <w:trHeight w:val="230"/>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Accrued interest on Level 3 investments</w:t>
            </w:r>
          </w:p>
        </w:tc>
        <w:tc>
          <w:tcPr>
            <w:tcW w:w="4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w:t>
            </w:r>
          </w:p>
        </w:tc>
      </w:tr>
      <w:tr>
        <w:trPr>
          <w:trHeight w:val="223"/>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Level 3 investments at December 31, 2023</w:t>
            </w:r>
          </w:p>
        </w:tc>
        <w:tc>
          <w:tcPr>
            <w:tcW w:w="4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51,530</w:t>
            </w:r>
          </w:p>
        </w:tc>
      </w:tr>
      <w:tr>
        <w:trPr>
          <w:trHeight w:val="223"/>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 fair value of Level 3 investments</w:t>
            </w: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(19,546)</w:t>
            </w:r>
          </w:p>
        </w:tc>
      </w:tr>
      <w:tr>
        <w:trPr>
          <w:trHeight w:val="23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 on Level 3 investments</w:t>
            </w:r>
          </w:p>
        </w:tc>
        <w:tc>
          <w:tcPr>
            <w:tcW w:w="4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23"/>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Level 3 investments at September 30, 2024</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32,359</w:t>
            </w:r>
          </w:p>
        </w:tc>
      </w:tr>
      <w:tr>
        <w:trPr>
          <w:trHeight w:val="20"/>
        </w:trPr>
        <w:tc>
          <w:tcPr>
            <w:tcW w:w="90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ASSETS HELD FOR SALE</w:t>
      </w:r>
    </w:p>
    <w:p>
      <w:pPr>
        <w:spacing w:after="0" w:line="25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 December 2023, the Company committed to a plan to sell its corporate headquarters and associated building loan on the corporate headquarters (the disposal group). Management selected a broker to actively market and sell its corporate headquarters. The corporate headquarters and related assets and liabilities met the criteria to be classified as held for sale as of September 30, 2024 and December 31, 2023 and are presented separately on our consolidated balance sheets.</w:t>
      </w:r>
    </w:p>
    <w:p>
      <w:pPr>
        <w:spacing w:after="0" w:line="20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September 2024, the Company entered into an agreement with Salt Lake County, a body corporate and politic of the State of Utah, to sell the Company's corporate headquarters for a sales price of $55.0 million. The transaction is expected to close during the fourth quarter of 2024. As a result, the Company recognized an additional write-down loss of $1.6 million during the three and nine months ended September 30, 2024, which is recorded in Other expense, net in our consolidated statements of operations.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 PROPERTY AND EQUIPMENT, NET</w:t>
            </w: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59"/>
        </w:trPr>
        <w:tc>
          <w:tcPr>
            <w:tcW w:w="8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Property and equipment, net (excluding assets held for sale) consist of the following (in thousands):</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97"/>
        </w:trPr>
        <w:tc>
          <w:tcPr>
            <w:tcW w:w="8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24"/>
                <w:szCs w:val="24"/>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1"/>
        </w:trPr>
        <w:tc>
          <w:tcPr>
            <w:tcW w:w="80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5"/>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hardware and software, including internal-use software and website development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260,275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249,208</w:t>
            </w: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equipment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10,919</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w:t>
            </w:r>
          </w:p>
        </w:tc>
      </w:tr>
      <w:tr>
        <w:trPr>
          <w:trHeight w:val="223"/>
        </w:trPr>
        <w:tc>
          <w:tcPr>
            <w:tcW w:w="8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266,230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261,922</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(239,019)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(234,345)</w:t>
            </w:r>
          </w:p>
        </w:tc>
      </w:tr>
      <w:tr>
        <w:trPr>
          <w:trHeight w:val="223"/>
        </w:trPr>
        <w:tc>
          <w:tcPr>
            <w:tcW w:w="8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27,211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27,577</w:t>
            </w:r>
          </w:p>
        </w:tc>
      </w:tr>
      <w:tr>
        <w:trPr>
          <w:trHeight w:val="20"/>
        </w:trPr>
        <w:tc>
          <w:tcPr>
            <w:tcW w:w="8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right="780" w:firstLine="648"/>
        <w:spacing w:after="0" w:line="312" w:lineRule="auto"/>
        <w:rPr>
          <w:sz w:val="20"/>
          <w:szCs w:val="20"/>
          <w:color w:val="auto"/>
        </w:rPr>
      </w:pPr>
      <w:r>
        <w:rPr>
          <w:rFonts w:ascii="Times New Roman" w:cs="Times New Roman" w:eastAsia="Times New Roman" w:hAnsi="Times New Roman"/>
          <w:sz w:val="17"/>
          <w:szCs w:val="17"/>
          <w:color w:val="auto"/>
        </w:rPr>
        <w:t>Capitalized costs associated with internal-use software and website development, both developed internally and acquired externally, and depreciation of costs for the same periods associated with internal-use software and website development consist of the following (in thousands):</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620" w:type="dxa"/>
            <w:vAlign w:val="bottom"/>
          </w:tcPr>
          <w:p>
            <w:pPr>
              <w:spacing w:after="0"/>
              <w:rPr>
                <w:sz w:val="18"/>
                <w:szCs w:val="18"/>
                <w:color w:val="auto"/>
              </w:rPr>
            </w:pPr>
          </w:p>
        </w:tc>
        <w:tc>
          <w:tcPr>
            <w:tcW w:w="2240" w:type="dxa"/>
            <w:vAlign w:val="bottom"/>
            <w:gridSpan w:val="4"/>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6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5620" w:type="dxa"/>
            <w:vAlign w:val="bottom"/>
          </w:tcPr>
          <w:p>
            <w:pPr>
              <w:spacing w:after="0"/>
              <w:rPr>
                <w:sz w:val="20"/>
                <w:szCs w:val="20"/>
                <w:color w:val="auto"/>
              </w:rPr>
            </w:pPr>
          </w:p>
        </w:tc>
        <w:tc>
          <w:tcPr>
            <w:tcW w:w="2240" w:type="dxa"/>
            <w:vAlign w:val="bottom"/>
            <w:tcBorders>
              <w:bottom w:val="single" w:sz="8" w:color="auto"/>
            </w:tcBorders>
            <w:gridSpan w:val="4"/>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4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5"/>
        </w:trPr>
        <w:tc>
          <w:tcPr>
            <w:tcW w:w="56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internal-use software and website development</w:t>
            </w: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3,505</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3,069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9,350</w:t>
            </w:r>
          </w:p>
        </w:tc>
      </w:tr>
      <w:tr>
        <w:trPr>
          <w:trHeight w:val="234"/>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of internal-use software and website development</w:t>
            </w:r>
          </w:p>
        </w:tc>
        <w:tc>
          <w:tcPr>
            <w:tcW w:w="8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2,362</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1,217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5,932</w:t>
            </w:r>
          </w:p>
        </w:tc>
      </w:tr>
    </w:tbl>
    <w:p>
      <w:pPr>
        <w:spacing w:after="0" w:line="314"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Depreciation expense is classified within the corresponding operating expense categories on our consolidated statements of operations as follows (in thousands):</w:t>
      </w:r>
    </w:p>
    <w:p>
      <w:pPr>
        <w:spacing w:after="0" w:line="4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620" w:type="dxa"/>
            <w:vAlign w:val="bottom"/>
          </w:tcPr>
          <w:p>
            <w:pPr>
              <w:spacing w:after="0"/>
              <w:rPr>
                <w:sz w:val="18"/>
                <w:szCs w:val="18"/>
                <w:color w:val="auto"/>
              </w:rPr>
            </w:pPr>
          </w:p>
        </w:tc>
        <w:tc>
          <w:tcPr>
            <w:tcW w:w="224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6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620" w:type="dxa"/>
            <w:vAlign w:val="bottom"/>
          </w:tcPr>
          <w:p>
            <w:pPr>
              <w:spacing w:after="0"/>
              <w:rPr>
                <w:sz w:val="20"/>
                <w:szCs w:val="20"/>
                <w:color w:val="auto"/>
              </w:rPr>
            </w:pPr>
          </w:p>
        </w:tc>
        <w:tc>
          <w:tcPr>
            <w:tcW w:w="2240" w:type="dxa"/>
            <w:vAlign w:val="bottom"/>
            <w:tcBorders>
              <w:bottom w:val="single" w:sz="8" w:color="auto"/>
            </w:tcBorders>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4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3"/>
        </w:trPr>
        <w:tc>
          <w:tcPr>
            <w:tcW w:w="56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8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3,908</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2,940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10,930</w:t>
            </w: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w:t>
            </w:r>
          </w:p>
        </w:tc>
      </w:tr>
      <w:tr>
        <w:trPr>
          <w:trHeight w:val="223"/>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depreciation</w:t>
            </w:r>
          </w:p>
        </w:tc>
        <w:tc>
          <w:tcPr>
            <w:tcW w:w="8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4,107</w:t>
            </w:r>
          </w:p>
        </w:tc>
        <w:tc>
          <w:tcPr>
            <w:tcW w:w="120" w:type="dxa"/>
            <w:vAlign w:val="bottom"/>
          </w:tcPr>
          <w:p>
            <w:pPr>
              <w:spacing w:after="0"/>
              <w:rPr>
                <w:sz w:val="19"/>
                <w:szCs w:val="19"/>
                <w:color w:val="auto"/>
              </w:rPr>
            </w:pPr>
          </w:p>
        </w:tc>
        <w:tc>
          <w:tcPr>
            <w:tcW w:w="8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4,038</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14,531</w:t>
            </w:r>
          </w:p>
        </w:tc>
      </w:tr>
      <w:tr>
        <w:trPr>
          <w:trHeight w:val="20"/>
        </w:trPr>
        <w:tc>
          <w:tcPr>
            <w:tcW w:w="56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INTANGIBLE ASSETS, NET</w:t>
      </w:r>
    </w:p>
    <w:p>
      <w:pPr>
        <w:spacing w:after="0" w:line="256"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On March 6, 2024, we entered into an Intellectual Property Asset Purchase Agreement with Zulily ABC, LLC ("Zulily") to acquire certain intellectual property related to the Zulily brand. The aggregate purchase price, inclusive of direct acquisition-related expenses totaled $4.6 million which has been allocated to two major asset categories consisting of $3.9 million for trade names, with an indefinite useful life, and $676,000 for customer lists, with an estimated useful life of five years.</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On March 31, 2024, we entered into an Asset Purchase Agreement with Indo Count Global, Inc. to sell certain intellectual property related to the Wamsutta brand which was acquired as part of our purchase of the Bed Bath &amp; Beyond brand in June 2023, for a total sales price of $10.3 million in cash plus the assumption of certain liabilities. On April 18, 2024, we closed the transaction and received $10.3 million in cash proceeds. For the nine months ended September 30, 2024, we recognized the entire $10.3 million as a gain on the sale which is included in Other expense, net in our consolidated statements of operations.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Intangible assets, net consist of the following (in thousands):</w:t>
            </w: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97"/>
        </w:trPr>
        <w:tc>
          <w:tcPr>
            <w:tcW w:w="8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24"/>
                <w:szCs w:val="24"/>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1"/>
        </w:trPr>
        <w:tc>
          <w:tcPr>
            <w:tcW w:w="80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5"/>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subject to amortization, gross (1)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5,331</w:t>
            </w:r>
          </w:p>
        </w:tc>
      </w:tr>
      <w:tr>
        <w:trPr>
          <w:trHeight w:val="229"/>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 of intangible assets</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(2,114)</w:t>
            </w: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subject to amortization, net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w:t>
            </w:r>
          </w:p>
        </w:tc>
      </w:tr>
      <w:tr>
        <w:trPr>
          <w:trHeight w:val="229"/>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Intangible assets not subject to amortization</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27,152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22,037</w:t>
            </w:r>
          </w:p>
        </w:tc>
      </w:tr>
      <w:tr>
        <w:trPr>
          <w:trHeight w:val="248"/>
        </w:trPr>
        <w:tc>
          <w:tcPr>
            <w:tcW w:w="8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25,254</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w:t>
      </w:r>
    </w:p>
    <w:p>
      <w:pPr>
        <w:spacing w:after="0" w:line="117" w:lineRule="exact"/>
        <w:rPr>
          <w:sz w:val="20"/>
          <w:szCs w:val="20"/>
          <w:color w:val="auto"/>
        </w:rPr>
      </w:pPr>
    </w:p>
    <w:p>
      <w:pPr>
        <w:ind w:left="1040" w:hanging="384"/>
        <w:spacing w:after="0"/>
        <w:tabs>
          <w:tab w:leader="none" w:pos="10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September 30, 2024, the weighted average remaining useful life for intangible assets subject to amortization, gross was 3.6 years.</w:t>
      </w:r>
    </w:p>
    <w:p>
      <w:pPr>
        <w:spacing w:after="0" w:line="248"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SECURITIES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Equity securities consist of the following (in thousands):</w:t>
            </w: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97"/>
        </w:trPr>
        <w:tc>
          <w:tcPr>
            <w:tcW w:w="8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24"/>
                <w:szCs w:val="24"/>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1"/>
        </w:trPr>
        <w:tc>
          <w:tcPr>
            <w:tcW w:w="80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5"/>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securities accounted for under the equity method under ASC 323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90,968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114,827</w:t>
            </w:r>
          </w:p>
        </w:tc>
      </w:tr>
      <w:tr>
        <w:trPr>
          <w:trHeight w:val="230"/>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Equity securities accounted for under the equity method under the fair value option</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21,500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41,046</w:t>
            </w:r>
          </w:p>
        </w:tc>
      </w:tr>
      <w:tr>
        <w:trPr>
          <w:trHeight w:val="248"/>
        </w:trPr>
        <w:tc>
          <w:tcPr>
            <w:tcW w:w="8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equity securities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155,873</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Our equity securities accounted for under the equity method under ASC 323 include equity securities in which we can exercise significant influence, but not control, over these entities through holding more than a 20% voting interest in the entity.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includes our equity securities accounted for under the equity method (ASC 323) and related ownership interest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6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Ownership</w:t>
            </w:r>
          </w:p>
        </w:tc>
      </w:tr>
      <w:tr>
        <w:trPr>
          <w:trHeight w:val="241"/>
        </w:trPr>
        <w:tc>
          <w:tcPr>
            <w:tcW w:w="9060" w:type="dxa"/>
            <w:vAlign w:val="bottom"/>
            <w:tcBorders>
              <w:bottom w:val="single" w:sz="8" w:color="CCEEFF"/>
            </w:tcBorders>
          </w:tcPr>
          <w:p>
            <w:pPr>
              <w:spacing w:after="0"/>
              <w:rPr>
                <w:sz w:val="20"/>
                <w:szCs w:val="20"/>
                <w:color w:val="auto"/>
              </w:rPr>
            </w:pP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interest</w:t>
            </w:r>
          </w:p>
        </w:tc>
      </w:tr>
      <w:tr>
        <w:trPr>
          <w:trHeight w:val="225"/>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Medici Ventures, L.P.</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99%</w:t>
            </w:r>
          </w:p>
        </w:tc>
      </w:tr>
      <w:tr>
        <w:trPr>
          <w:trHeight w:val="230"/>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tZERO Group, Inc.</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SpeedRoute, LLC</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49%</w:t>
            </w:r>
          </w:p>
        </w:tc>
      </w:tr>
    </w:tbl>
    <w:p>
      <w:pPr>
        <w:spacing w:after="0" w:line="306"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carrying amount of our equity method securities was $112.5 million at September 30, 2024, which is included in Equity securities on our consolidated balance sheets, of which $21.5 million was valued under the fair value option (tZERO and SpeedRoute). For our investments in Medici Ventures, L.P., tZERO, and SpeedRoute there was no difference in the carrying amount of the assets and liabilities and our maximum exposure to loss, and there was no difference between the carrying amount of our investment in Medici Ventures, L.P., and the amount of underlying equity we have in the entity's net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net loss recognized on equity method securities recorded in Other expense, net in our consolidated statements of operations (in thousands):</w:t>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6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80" w:type="dxa"/>
            <w:vAlign w:val="bottom"/>
          </w:tcPr>
          <w:p>
            <w:pPr>
              <w:spacing w:after="0"/>
              <w:rPr>
                <w:sz w:val="17"/>
                <w:szCs w:val="17"/>
                <w:color w:val="auto"/>
              </w:rPr>
            </w:pPr>
          </w:p>
        </w:tc>
        <w:tc>
          <w:tcPr>
            <w:tcW w:w="246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5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6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80" w:type="dxa"/>
            <w:vAlign w:val="bottom"/>
          </w:tcPr>
          <w:p>
            <w:pPr>
              <w:spacing w:after="0"/>
              <w:rPr>
                <w:sz w:val="20"/>
                <w:szCs w:val="20"/>
                <w:color w:val="auto"/>
              </w:rPr>
            </w:pPr>
          </w:p>
        </w:tc>
        <w:tc>
          <w:tcPr>
            <w:tcW w:w="246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5"/>
        </w:trPr>
        <w:tc>
          <w:tcPr>
            <w:tcW w:w="56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55"/>
        </w:trPr>
        <w:tc>
          <w:tcPr>
            <w:tcW w:w="560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Net loss recognized on our proportionate share of the net assets of our equity</w:t>
            </w: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24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 securities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(41,837)</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(85,255)</w:t>
            </w:r>
          </w:p>
        </w:tc>
      </w:tr>
      <w:tr>
        <w:trPr>
          <w:trHeight w:val="175"/>
        </w:trPr>
        <w:tc>
          <w:tcPr>
            <w:tcW w:w="56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Increase (decrease) in fair value of equity method securities held under fair</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43"/>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value option</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(41,711)</w:t>
            </w: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Regulation S-X Rule 10-01(b)(1)</w:t>
      </w:r>
    </w:p>
    <w:p>
      <w:pPr>
        <w:spacing w:after="0" w:line="254"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Rule 10-01(b)(1) of Regulation S-X, which applies to interim reports on Form 10-Q, the Company must determine if its equity method investees are considered "significant subsidiaries". Summarized income statement information of an equity method investee is required in an interim report if the significance criteria are met as defined under SEC guidance. For the period ended September 30, 2024, none of our equity method investees met the significance criteria. The following is the unaudited summarized financial information for those equity method securities that met the significance criteria for the period ended September 30, 2023, presented on a quarterly lag,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89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September 30, 2023</w:t>
            </w:r>
          </w:p>
        </w:tc>
      </w:tr>
      <w:tr>
        <w:trPr>
          <w:trHeight w:val="209"/>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3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r>
      <w:tr>
        <w:trPr>
          <w:trHeight w:val="229"/>
        </w:trPr>
        <w:tc>
          <w:tcPr>
            <w:tcW w:w="8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w:t>
            </w:r>
          </w:p>
        </w:tc>
      </w:tr>
      <w:tr>
        <w:trPr>
          <w:trHeight w:val="230"/>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Pre-tax loss</w:t>
            </w:r>
          </w:p>
        </w:tc>
        <w:tc>
          <w:tcPr>
            <w:tcW w:w="3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(15,681)</w:t>
            </w:r>
          </w:p>
        </w:tc>
      </w:tr>
      <w:tr>
        <w:trPr>
          <w:trHeight w:val="234"/>
        </w:trPr>
        <w:tc>
          <w:tcPr>
            <w:tcW w:w="8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(15,882)</w:t>
            </w: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BORROWINGS</w:t>
      </w:r>
    </w:p>
    <w:p>
      <w:pPr>
        <w:spacing w:after="0" w:line="25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In March 2020, we entered into two loan agreements. The loan agreements provide a $34.5 million Senior Note, carrying interest at an annual rate of 4.242%, and a $13.0 million Mezzanine Note, carrying interest at an annual rate of 5.002%. The loans carry a blended annual interest rate of 4.45%. The Senior Note is for a 10-year term (stated maturity date is March 6, 2030) and requires interest only payments, with the principal amount and any then unpaid interest due and payable at the end of the 10-year term. The Mezzanine Note has a stated 10-year term, though the agreement requires principal and interest payments monthly over approximately a 46-month payment period. Our debt issuance costs and debt discount are amortized using the straight-line basis which approximates the effective interest method.</w:t>
      </w:r>
    </w:p>
    <w:p>
      <w:pPr>
        <w:spacing w:after="0" w:line="214"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In January 2024, we repaid the entire outstanding balance under the Mezzanine Note. As of September 30, 2024, the total outstanding debt on the Senior Note was $34.2 million, net of $268,000 in capitalized debt issuance costs. Our total outstanding debt on the Senior Note is classified as held-for-sale and included in Long-term debt, net held for sale on our consolidated balance sheets. See Note 4—Assets Held for Sale for further information.</w:t>
      </w:r>
    </w:p>
    <w:p>
      <w:pPr>
        <w:spacing w:after="0" w:line="20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Senior Note includes certain financial and non-financial covenants and are secured by our corporate headquarters and the related land and rank senior to stockholders. The financial covenants require that Beyond maintain a net worth in excess of $15.0 million and minimum liquid assets of $1.0 million for the remainder of the term that the Senior Note is outstanding. We are in compliance with our debt covenants and continue to monitor our ongoing compliance with our debt covenants.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256"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We have operating leases for a warehouse, office space, and data center. Our leases have remaining lease terms of one year to three years, some of which may include options to extend the leases perpetually, and some of which may include options to terminate the leases within one year. Variable lease costs include executory costs, such as taxes, insurance, and maintenance.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749"/>
        </w:trPr>
        <w:tc>
          <w:tcPr>
            <w:tcW w:w="56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The components of lease expenses were as follows (in thousands):</w:t>
            </w: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97"/>
        </w:trPr>
        <w:tc>
          <w:tcPr>
            <w:tcW w:w="12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260" w:type="dxa"/>
            <w:vAlign w:val="bottom"/>
            <w:gridSpan w:val="4"/>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6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128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2260" w:type="dxa"/>
            <w:vAlign w:val="bottom"/>
            <w:tcBorders>
              <w:bottom w:val="single" w:sz="8" w:color="auto"/>
            </w:tcBorders>
            <w:gridSpan w:val="4"/>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5"/>
        </w:trPr>
        <w:tc>
          <w:tcPr>
            <w:tcW w:w="1280" w:type="dxa"/>
            <w:vAlign w:val="bottom"/>
            <w:tcBorders>
              <w:bottom w:val="single" w:sz="8" w:color="CCEEFF"/>
            </w:tcBorders>
          </w:tcPr>
          <w:p>
            <w:pPr>
              <w:spacing w:after="0"/>
              <w:rPr>
                <w:sz w:val="19"/>
                <w:szCs w:val="19"/>
                <w:color w:val="auto"/>
              </w:rPr>
            </w:pPr>
          </w:p>
        </w:tc>
        <w:tc>
          <w:tcPr>
            <w:tcW w:w="436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1,344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4,242</w:t>
            </w:r>
          </w:p>
        </w:tc>
      </w:tr>
      <w:tr>
        <w:trPr>
          <w:trHeight w:val="234"/>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9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w:t>
            </w:r>
          </w:p>
        </w:tc>
      </w:tr>
    </w:tbl>
    <w:p>
      <w:pPr>
        <w:spacing w:after="0" w:line="2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a summary of other information related to leases (in thousands):</w:t>
      </w:r>
    </w:p>
    <w:p>
      <w:pPr>
        <w:spacing w:after="0" w:line="133" w:lineRule="exact"/>
        <w:rPr>
          <w:sz w:val="20"/>
          <w:szCs w:val="20"/>
          <w:color w:val="auto"/>
        </w:rPr>
      </w:pPr>
    </w:p>
    <w:p>
      <w:pPr>
        <w:jc w:val="center"/>
        <w:ind w:left="806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jc w:val="center"/>
        <w:ind w:left="806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40" w:type="dxa"/>
            <w:vAlign w:val="bottom"/>
            <w:tcBorders>
              <w:bottom w:val="single" w:sz="8" w:color="CCEEFF"/>
            </w:tcBorders>
          </w:tcPr>
          <w:p>
            <w:pPr>
              <w:spacing w:after="0"/>
              <w:rPr>
                <w:sz w:val="20"/>
                <w:szCs w:val="20"/>
                <w:color w:val="auto"/>
              </w:rPr>
            </w:pPr>
          </w:p>
        </w:tc>
        <w:tc>
          <w:tcPr>
            <w:tcW w:w="408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0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 included in operating cash flows from lease arrangements</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2,628</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4,475</w:t>
            </w:r>
          </w:p>
        </w:tc>
      </w:tr>
      <w:tr>
        <w:trPr>
          <w:trHeight w:val="554"/>
        </w:trPr>
        <w:tc>
          <w:tcPr>
            <w:tcW w:w="808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The following table provides supplemental balance sheet information related to leases:</w:t>
            </w: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88"/>
        </w:trPr>
        <w:tc>
          <w:tcPr>
            <w:tcW w:w="37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24"/>
                <w:szCs w:val="24"/>
                <w:color w:val="auto"/>
              </w:rPr>
            </w:pP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3740" w:type="dxa"/>
            <w:vAlign w:val="bottom"/>
            <w:tcBorders>
              <w:bottom w:val="single" w:sz="8" w:color="CCEEFF"/>
            </w:tcBorders>
          </w:tcPr>
          <w:p>
            <w:pPr>
              <w:spacing w:after="0"/>
              <w:rPr>
                <w:sz w:val="20"/>
                <w:szCs w:val="20"/>
                <w:color w:val="auto"/>
              </w:rPr>
            </w:pPr>
          </w:p>
        </w:tc>
        <w:tc>
          <w:tcPr>
            <w:tcW w:w="40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term—operating leases</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 years</w:t>
            </w: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 years</w:t>
            </w:r>
          </w:p>
        </w:tc>
      </w:tr>
      <w:tr>
        <w:trPr>
          <w:trHeight w:val="234"/>
        </w:trPr>
        <w:tc>
          <w:tcPr>
            <w:tcW w:w="8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rate—operating leases</w:t>
            </w:r>
          </w:p>
        </w:tc>
        <w:tc>
          <w:tcPr>
            <w:tcW w:w="24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549"/>
        </w:trPr>
        <w:tc>
          <w:tcPr>
            <w:tcW w:w="9820" w:type="dxa"/>
            <w:vAlign w:val="bottom"/>
            <w:gridSpan w:val="10"/>
          </w:tcPr>
          <w:p>
            <w:pPr>
              <w:ind w:left="660"/>
              <w:spacing w:after="0"/>
              <w:rPr>
                <w:sz w:val="20"/>
                <w:szCs w:val="20"/>
                <w:color w:val="auto"/>
              </w:rPr>
            </w:pPr>
            <w:r>
              <w:rPr>
                <w:rFonts w:ascii="Times New Roman" w:cs="Times New Roman" w:eastAsia="Times New Roman" w:hAnsi="Times New Roman"/>
                <w:sz w:val="18"/>
                <w:szCs w:val="18"/>
                <w:color w:val="auto"/>
                <w:w w:val="99"/>
              </w:rPr>
              <w:t>Maturity of lease liabilities under our non-cancellable operating leases as of September 30, 2024, are as follows (in thousands):</w:t>
            </w:r>
          </w:p>
        </w:tc>
        <w:tc>
          <w:tcPr>
            <w:tcW w:w="1420" w:type="dxa"/>
            <w:vAlign w:val="bottom"/>
          </w:tcPr>
          <w:p>
            <w:pPr>
              <w:spacing w:after="0"/>
              <w:rPr>
                <w:sz w:val="24"/>
                <w:szCs w:val="24"/>
                <w:color w:val="auto"/>
              </w:rPr>
            </w:pPr>
          </w:p>
        </w:tc>
      </w:tr>
      <w:tr>
        <w:trPr>
          <w:trHeight w:val="365"/>
        </w:trPr>
        <w:tc>
          <w:tcPr>
            <w:tcW w:w="80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Payments due by period</w:t>
            </w: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w w:val="98"/>
              </w:rPr>
              <w:t>Amount</w:t>
            </w:r>
          </w:p>
        </w:tc>
      </w:tr>
      <w:tr>
        <w:trPr>
          <w:trHeight w:val="223"/>
        </w:trPr>
        <w:tc>
          <w:tcPr>
            <w:tcW w:w="3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(Remainder)</w:t>
            </w:r>
          </w:p>
        </w:tc>
        <w:tc>
          <w:tcPr>
            <w:tcW w:w="4340" w:type="dxa"/>
            <w:vAlign w:val="bottom"/>
            <w:tcBorders>
              <w:top w:val="single" w:sz="8" w:color="CCEEFF"/>
            </w:tcBorders>
            <w:gridSpan w:val="2"/>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r>
      <w:tr>
        <w:trPr>
          <w:trHeight w:val="230"/>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w:t>
            </w:r>
          </w:p>
        </w:tc>
      </w:tr>
      <w:tr>
        <w:trPr>
          <w:trHeight w:val="23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0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30"/>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08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23"/>
        </w:trPr>
        <w:tc>
          <w:tcPr>
            <w:tcW w:w="80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lease payments</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w:t>
            </w:r>
          </w:p>
        </w:tc>
      </w:tr>
      <w:tr>
        <w:trPr>
          <w:trHeight w:val="223"/>
        </w:trPr>
        <w:tc>
          <w:tcPr>
            <w:tcW w:w="80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24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48"/>
        </w:trPr>
        <w:tc>
          <w:tcPr>
            <w:tcW w:w="808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 and contingencies</w:t>
      </w:r>
    </w:p>
    <w:p>
      <w:pPr>
        <w:spacing w:after="0" w:line="254"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From time to time, we are involved in litigation concerning consumer protection, employment, intellectual property, claims under the securities laws, and other commercial matters related to the conduct and operation of our business and the sale of products on our websites. In connection with such litigation, we have been in the past and we may be in the future subject to significant damages. In some instances, other parties may have contractual indemnification obligations to us. However, such contractual obligations may prove unenforceable or non-collectible, and if we cannot enforce or collect on indemnification obligations, we may bear the full responsibility for damages, fees, and costs resulting from such litigation. We may also be subject to penalties and equitable remedies that could force us to alter important business practices. Such litigation could be costly and time consuming and could divert or distract our management and key personnel from our business operations. Due to the uncertainty of litigation and depending on the amount and the timing, an unfavorable resolution of some or all of such matters could materially affect our business, results of operations, financial position, or cash flows. The nature of the loss contingencies relating to claims that have been asserted against us are described below.</w:t>
      </w:r>
    </w:p>
    <w:p>
      <w:pPr>
        <w:spacing w:after="0" w:line="215"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On September 27, 2019, a purported securities class action lawsuit was filed against us and our former Chief Executive Officer and former Chief Financial Officer in the United States District Court of Utah, alleging violations under Section 10(b), Rule 10b-5, Section 20(a), and Section 20A of the Exchange Act. On October 8, 2019, October 17, 2019, October 31, 2019, and November 20, 2019, four similar lawsuits were filed in the same court also naming us and the above referenced former</w:t>
      </w:r>
    </w:p>
    <w:p>
      <w:pPr>
        <w:sectPr>
          <w:pgSz w:w="11900" w:h="16838" w:orient="portrait"/>
          <w:cols w:equalWidth="0" w:num="1">
            <w:col w:w="11240"/>
          </w:cols>
          <w:pgMar w:left="320" w:top="3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color w:val="auto"/>
        </w:rPr>
        <w:t>executives as defendants, bringing similar claims under the Exchange Act, and seeking similar relief. These cases were consolidated into a single lawsuit in December 2019. The Court appointed The Mangrove Partners Master Fund Ltd. as lead plaintiff in January 2020. In March 2020, an amended consolidated complaint was filed against us, our former Overstock President (now current President of Beyond, Inc.), our former Chief Executive Officer, and our former Chief Financial Officer. On September 28, 2020, the court granted our motion to dismiss and entered judgment in our favor. The lead plaintiff filed a motion to amend its complaint, which the court granted on January 6, 2021. On September 20, 2021, the court granted our motion to dismiss and entered judgment in our favor. On October 18, 2021, lead plaintiff filed a Notice of Appeal, appealing the ruling of the district court to the United States Court of Appeals for the Tenth Circuit. On October 15, 2024, the Tenth Circuit affirmed the District Court's order dismissing the case in its entirety. No estimates of the possible losses or range of losses can be made at this time. We intend to continue to vigorously defend this consolidated action.</w:t>
      </w:r>
    </w:p>
    <w:p>
      <w:pPr>
        <w:spacing w:after="0" w:line="19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On November 22, 2019, a shareholder derivative suit was filed against us and certain past and present directors and officers of ours in the United States District Court for the District of Delaware, with allegations that include: (i) breach of fiduciary duties, (ii) unjust enrichment, (iii) insider selling and misappropriation of the Company's information, and (iv) contribution under Sections 10(b) and 21D of the Exchange Act. On December 17, 2019, a similar lawsuit was filed in the same court, naming the same defendants, bringing similar claims, and seeking similar relief. These cases were consolidated into a single lawsuit in January 2020. The consolidated case was stayed pending resolution of the securities class action motion to dismiss and appeal to the Tenth Circuit. No estimates of the possible losses or range of losses can be made at this time. We intend to vigorously defend these actions.</w:t>
      </w:r>
    </w:p>
    <w:p>
      <w:pPr>
        <w:spacing w:after="0" w:line="187"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We establish liabilities when a particular contingency is probable and estimable which are included in Accrued liabilities on our consolidated balance sheets. At September 30, 2024 and December 31, 2023, our established liabilities were not material.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INDEMNIFICATIONS AND GUARANTEES</w:t>
      </w:r>
    </w:p>
    <w:p>
      <w:pPr>
        <w:spacing w:after="0" w:line="229" w:lineRule="exact"/>
        <w:rPr>
          <w:sz w:val="20"/>
          <w:szCs w:val="20"/>
          <w:color w:val="auto"/>
        </w:rPr>
      </w:pPr>
    </w:p>
    <w:p>
      <w:pPr>
        <w:ind w:right="20" w:firstLine="648"/>
        <w:spacing w:after="0" w:line="270" w:lineRule="auto"/>
        <w:rPr>
          <w:sz w:val="20"/>
          <w:szCs w:val="20"/>
          <w:color w:val="auto"/>
        </w:rPr>
      </w:pPr>
      <w:r>
        <w:rPr>
          <w:rFonts w:ascii="Times New Roman" w:cs="Times New Roman" w:eastAsia="Times New Roman" w:hAnsi="Times New Roman"/>
          <w:sz w:val="17"/>
          <w:szCs w:val="17"/>
          <w:color w:val="auto"/>
        </w:rPr>
        <w:t>During our normal course of business, we have made certain indemnities, commitments, and guarantees under which we may be required to make payments in relation to certain transactions. These indemnities include, but are not limited to, indemnities we entered into in favor of Loan Core Capital Funding Corporation LLC under our building loan agreements, various lessors in connection with facility leases for certain claims arising from such facility or lease, the environmental indemnity we entered into in favor of the lenders under our prior loan agreements, customary indemnification arrangements in underwriting agreements and similar agreements, and indemnities to our directors and officers to the maximum extent permitted under the laws of the State of Delaware. The duration of these indemnities, commitments, and guarantees varies, and in certain cases, is indefinite. In addition, the majority of these indemnities, commitments, and guarantees do not provide for any limitation of the maximum potential future payments we could be obligated to make. As such, we are unable to estimate with any reasonableness our potential exposure under these items. We have not recorded any liability for these indemnities, commitments, and guarantees in the accompanying consolidated balance sheets. We do, however, accrue losses for any known contingent liability, including those that may arise from indemnification provisions, when future payment is both probable and reasonably estimable.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STOCKHOLDERS' EQUITY</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254"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Each share of common stock has the right to one vote. The holders of common stock are also entitled to receive dividends declared by the Board of Directors out of funds legally available, subject to prior rights of holders of all classes of stock outstanding having priority rights as to dividends.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JonesTrading Sales Agreement</w:t>
      </w:r>
    </w:p>
    <w:p>
      <w:pPr>
        <w:spacing w:after="0" w:line="251" w:lineRule="exact"/>
        <w:rPr>
          <w:sz w:val="20"/>
          <w:szCs w:val="20"/>
          <w:color w:val="auto"/>
        </w:rPr>
      </w:pPr>
    </w:p>
    <w:p>
      <w:pPr>
        <w:ind w:right="60" w:firstLine="648"/>
        <w:spacing w:after="0" w:line="242" w:lineRule="auto"/>
        <w:rPr>
          <w:sz w:val="20"/>
          <w:szCs w:val="20"/>
          <w:color w:val="auto"/>
        </w:rPr>
      </w:pPr>
      <w:r>
        <w:rPr>
          <w:rFonts w:ascii="Times New Roman" w:cs="Times New Roman" w:eastAsia="Times New Roman" w:hAnsi="Times New Roman"/>
          <w:sz w:val="18"/>
          <w:szCs w:val="18"/>
          <w:color w:val="auto"/>
        </w:rPr>
        <w:t>We entered into a Capital on Demand</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Sales Agreement (the "Sales Agreement") dated June 10, 2024 with JonesTrading Institutional Services LLC ("JonesTrading"), under which we may conduct "at the market" public offerings of our common stock. Under the Sales Agreement, JonesTrading, acting as our sales agent or principal, may offer our common stock in the market on a daily basis or otherwise as we request from time to time. We have no obligation to sell shares under the Sales Agreement, but we may do so from time to time. For the three and nine months ended September 30, 2024, we did not sell any</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shares of our common stock pursuant to the Sales Agreement. As of September 30, 2024, we had $200.0 million available under our "at the market" sales program.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Repurchase Program</w:t>
      </w:r>
    </w:p>
    <w:p>
      <w:pPr>
        <w:spacing w:after="0" w:line="254" w:lineRule="exact"/>
        <w:rPr>
          <w:sz w:val="20"/>
          <w:szCs w:val="20"/>
          <w:color w:val="auto"/>
        </w:rPr>
      </w:pPr>
    </w:p>
    <w:p>
      <w:pPr>
        <w:jc w:val="both"/>
        <w:ind w:right="280" w:firstLine="648"/>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2024 and 2023, we did not repurchase any shares of our common stock under our stock repurchase program. As of September 30, 2024, we had $69.9 million available for future share repurchases under our current repurchase authorization through December 31, 2025.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STOCK-BASED AWARDS</w:t>
      </w:r>
    </w:p>
    <w:p>
      <w:pPr>
        <w:spacing w:after="0" w:line="25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We have equity incentive and compensatory plans that provide for the grant of stock-based awards, including restricted stock and performance shares to employees and board members and provide employees the ability to purchase shares of our common stock through an employee stock purchase plan. Employee accounting applies to equity incentives and compensation granted by the Company to its own employees. When an award is forfeited prior to the vesting date, we recognize an adjustment for the previously recognized expense in the period of the forfeiture.</w:t>
      </w:r>
    </w:p>
    <w:p>
      <w:pPr>
        <w:spacing w:after="0" w:line="207"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Stock-based compensation expense is classified within the corresponding operating expense categories on our consolidated statements of operations as follows (in thousands):</w:t>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620" w:type="dxa"/>
            <w:vAlign w:val="bottom"/>
          </w:tcPr>
          <w:p>
            <w:pPr>
              <w:spacing w:after="0"/>
              <w:rPr>
                <w:sz w:val="17"/>
                <w:szCs w:val="17"/>
                <w:color w:val="auto"/>
              </w:rPr>
            </w:pPr>
          </w:p>
        </w:tc>
        <w:tc>
          <w:tcPr>
            <w:tcW w:w="224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6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5620" w:type="dxa"/>
            <w:vAlign w:val="bottom"/>
          </w:tcPr>
          <w:p>
            <w:pPr>
              <w:spacing w:after="0"/>
              <w:rPr>
                <w:sz w:val="20"/>
                <w:szCs w:val="20"/>
                <w:color w:val="auto"/>
              </w:rPr>
            </w:pPr>
          </w:p>
        </w:tc>
        <w:tc>
          <w:tcPr>
            <w:tcW w:w="2240" w:type="dxa"/>
            <w:vAlign w:val="bottom"/>
            <w:tcBorders>
              <w:bottom w:val="single" w:sz="8" w:color="auto"/>
            </w:tcBorders>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4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5"/>
        </w:trPr>
        <w:tc>
          <w:tcPr>
            <w:tcW w:w="56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8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w:t>
            </w: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1,801</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2,286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7,317</w:t>
            </w:r>
          </w:p>
        </w:tc>
      </w:tr>
      <w:tr>
        <w:trPr>
          <w:trHeight w:val="230"/>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4,131</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3,252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9,828</w:t>
            </w:r>
          </w:p>
        </w:tc>
      </w:tr>
      <w:tr>
        <w:trPr>
          <w:trHeight w:val="248"/>
        </w:trPr>
        <w:tc>
          <w:tcPr>
            <w:tcW w:w="5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84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6,349</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5,798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17,863</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Beyond restricted stock unit awards</w:t>
      </w:r>
    </w:p>
    <w:p>
      <w:pPr>
        <w:spacing w:after="0" w:line="254" w:lineRule="exact"/>
        <w:rPr>
          <w:sz w:val="20"/>
          <w:szCs w:val="20"/>
          <w:color w:val="auto"/>
        </w:rPr>
      </w:pPr>
    </w:p>
    <w:p>
      <w:pPr>
        <w:ind w:firstLine="648"/>
        <w:spacing w:after="0" w:line="272" w:lineRule="auto"/>
        <w:rPr>
          <w:sz w:val="20"/>
          <w:szCs w:val="20"/>
          <w:color w:val="auto"/>
        </w:rPr>
      </w:pPr>
      <w:r>
        <w:rPr>
          <w:rFonts w:ascii="Times New Roman" w:cs="Times New Roman" w:eastAsia="Times New Roman" w:hAnsi="Times New Roman"/>
          <w:sz w:val="17"/>
          <w:szCs w:val="17"/>
          <w:color w:val="auto"/>
        </w:rPr>
        <w:t>The Beyond, Inc. Amended and Restated 2005 Equity Incentive Plan provides for the grant of restricted stock units and other types of equity awards to employees and directors of the Company. The Compensation Committee of the Board of Directors approves grants of restricted stock unit awards to our officers, board members and employees. These restricted stock unit awards generally vest over three years at 33.3% at the end of the first year,</w:t>
      </w:r>
    </w:p>
    <w:p>
      <w:pPr>
        <w:spacing w:after="0" w:line="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33.3% at the end of the second year and 33.4% at the end of the third year, subject to the recipient's continuing service to us. During the first quarter of fiscal 2024, we changed our vesting schedule for newly granted restricted stock units from three years to four years. These restricted stock unit awards will vest at 25% each year. For the nine months ended September 30, 2024, we granted 200,150 restricted stock awards with a cumulative grant date fair value of $6.8 million under the new vesting schedule.</w:t>
      </w:r>
    </w:p>
    <w:p>
      <w:pPr>
        <w:spacing w:after="0" w:line="21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cost of restricted stock units is determined using the fair value of our common stock on the date of the grant and compensation expense is either recognized on a straight-line basis over the vesting schedule or on an accelerated schedule when vesting of restricted stock awards exceeds a straight-line basis. The cumulative amount of compensation expense recognized at any point in time is at least equal to the portion of the grant date fair value of the award that is vested at that date.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Shares</w:t>
      </w:r>
    </w:p>
    <w:p>
      <w:pPr>
        <w:spacing w:after="0" w:line="254"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During the nine months ended September 30, 2024, we granted 1,472,500 performance-based shares ("PSUs") to our executive management team. A portion of each grant of PSUs (25%) is eligible to vest based on our net revenue performance and the remaining portion (75%) is eligible to vest based on our stock price performance. The PSUs tied to stock price performance will be eligible to vest in three installments upon the achievement of three separate stock price hurdles during the three-year period following the grant date, with 33% of the PSUs earned if the average per-share closing price of our common stock over any 20 consecutive trading day period equals or exceeds $40.00 per share (but in no event prior to the first anniversary of the grant date), 33% of the PSUs earned if the average per-share closing price of our common stock over any 20 consecutive trading day period equals or exceeds $50.00 per share (but in no event prior to the second anniversary of the grant date), and 34% of the PSUs earned if the average per share closing price of our common stock over any 20 consecutive trading</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day period equals or exceeds $60.00 per share (but in no event prior to the third anniversary of the grant date), in each case subject to the recipient’s continued service through the vesting date. If a stock price hurdle is not achieved during the three years following the grant date, the portion of the award tied to such stock price hurdle will be forfeited.</w:t>
      </w:r>
    </w:p>
    <w:p>
      <w:pPr>
        <w:spacing w:after="0" w:line="203"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PSUs tied to net revenue performance will vest based on our net revenue over three years, with one-third of the PSUs eligible to vest on each of the first, second, and third anniversaries of the grant date, subject to the recipient’s continued service through the vesting date. To be eligible to vest in any tranche of the PSUs tied to net revenue performance, we must meet the GAAP net revenue goal established for the applicable year.</w:t>
      </w:r>
    </w:p>
    <w:p>
      <w:pPr>
        <w:spacing w:after="0" w:line="203"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For the portion of the PSUs that vest based on our net revenue performance, we recognize expense as compensation cost, the fair value on the date of grant over the performance period, taking into account the probability that we will satisfy the performance goals. For the portion of the PSUs that vest based on stock price hurdles, which is a market condition, we use a Monte Carlo valuation model to estimate the fair value as of the date of grant and expense compensation cost over the vesting period regardless of whether the market condition is ultimately satisfied.</w:t>
      </w:r>
    </w:p>
    <w:p>
      <w:pPr>
        <w:spacing w:after="0" w:line="207"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Stock-based compensation related to the PSUs is included in the stock-based compensation expense table above combined with the expense associated with our restricted stock units, performance share options, and ESPP. Stock-based compensation related to the PSUs was $2.4 million and $5.7 million for the three and nine months ended September 30, 2024, respectively.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Share Options</w:t>
      </w:r>
    </w:p>
    <w:p>
      <w:pPr>
        <w:spacing w:after="0" w:line="254"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During the nine months ended September 30, 2024, we granted a performance-based option to purchase 2,250,000 shares of our common stock to our Executive Chairman of the Board of Directors (the "Performance Share Option"). The Performance Share Option will be eligible to vest in three installments upon the achievement of three separate stock price hurdles during the four-year period following the grant date, with 500,000 of the shares subject to the Performance Share Option, having an exercise price of $45.00 per share, becoming vested if the average per-share closing price of our common stock over any 20 consecutive trading day period following the grant date but on or prior to the second anniversary of the grant date equals or exceeds $45.00 per share (but in no event will this tranche vest prior to the first anniversary of the grant date); 750,000 of the shares subject to the Performance Share Option, having an exercise price of $50.00 per share, becoming vested if the average per-share closing price of our common stock over any 20 consecutive trading day period following the grant date but on or prior to the third anniversary of the grant date equals or exceeds $50.00 per share (but in no event will this tranche vest prior to the second anniversary of the grant date); and 1,000,000 of the shares subject to the Performance Share Option, having an exercise price of $60.00 per share, becoming vested if the average per-share closing price of our common stock over any 20 consecutive trading day period following the grant date but on or prior to the fourth anniversary of the grant date equals or exceeds $60.00 per share (but in no event will this tranche vest prior to the third anniversary of the grant date), in each case subject to the Executive Chairman's continued service through the vesting date. If a stock price hurdle is not achieved during the performance period following the grant date, the portion of the award tied to such stock price hurdle will be forfeited.</w:t>
      </w:r>
    </w:p>
    <w:p>
      <w:pPr>
        <w:spacing w:after="0" w:line="224"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fair value of the Performance Share Option is determined using a Monte Carlo valuation model to estimate the fair value as of the date of grant and we will expense compensation cost over the vesting period regardless of whether the market condition is ultimately satisfied.</w:t>
      </w:r>
    </w:p>
    <w:p>
      <w:pPr>
        <w:spacing w:after="0" w:line="18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Stock-based compensation related to the Performance Share Option is included in stock-based compensation expense table above combined with the expense associated with our restricted stock units, PSUs, and ESPP. Stock-based compensation related to the performance share options was $1.0 million and $1.4 million for the three and nine months ended September 30,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restricted stock unit, PSU, and Performance Share Option award activity (in thousands, except per share data):</w:t>
      </w:r>
    </w:p>
    <w:p>
      <w:pPr>
        <w:spacing w:after="0" w:line="133"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ind w:left="8900"/>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08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center"/>
              <w:ind w:right="130"/>
              <w:spacing w:after="0" w:line="182"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176"/>
        </w:trPr>
        <w:tc>
          <w:tcPr>
            <w:tcW w:w="80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center"/>
              <w:ind w:right="1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180"/>
        </w:trPr>
        <w:tc>
          <w:tcPr>
            <w:tcW w:w="8080" w:type="dxa"/>
            <w:vAlign w:val="bottom"/>
          </w:tcPr>
          <w:p>
            <w:pPr>
              <w:spacing w:after="0"/>
              <w:rPr>
                <w:sz w:val="15"/>
                <w:szCs w:val="15"/>
                <w:color w:val="auto"/>
              </w:rPr>
            </w:pPr>
          </w:p>
        </w:tc>
        <w:tc>
          <w:tcPr>
            <w:tcW w:w="1000" w:type="dxa"/>
            <w:vAlign w:val="bottom"/>
            <w:vMerge w:val="restart"/>
          </w:tcPr>
          <w:p>
            <w:pPr>
              <w:ind w:left="56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center"/>
              <w:ind w:right="130"/>
              <w:spacing w:after="0" w:line="180" w:lineRule="exact"/>
              <w:rPr>
                <w:sz w:val="20"/>
                <w:szCs w:val="20"/>
                <w:color w:val="auto"/>
              </w:rPr>
            </w:pPr>
            <w:r>
              <w:rPr>
                <w:rFonts w:ascii="Times New Roman" w:cs="Times New Roman" w:eastAsia="Times New Roman" w:hAnsi="Times New Roman"/>
                <w:sz w:val="18"/>
                <w:szCs w:val="18"/>
                <w:b w:val="1"/>
                <w:bCs w:val="1"/>
                <w:color w:val="auto"/>
              </w:rPr>
              <w:t>Grant Date</w:t>
            </w:r>
          </w:p>
        </w:tc>
        <w:tc>
          <w:tcPr>
            <w:tcW w:w="0" w:type="dxa"/>
            <w:vAlign w:val="bottom"/>
          </w:tcPr>
          <w:p>
            <w:pPr>
              <w:spacing w:after="0"/>
              <w:rPr>
                <w:sz w:val="1"/>
                <w:szCs w:val="1"/>
                <w:color w:val="auto"/>
              </w:rPr>
            </w:pPr>
          </w:p>
        </w:tc>
      </w:tr>
      <w:tr>
        <w:trPr>
          <w:trHeight w:val="238"/>
        </w:trPr>
        <w:tc>
          <w:tcPr>
            <w:tcW w:w="808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Outstanding—beginning of year</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w:t>
            </w:r>
          </w:p>
        </w:tc>
        <w:tc>
          <w:tcPr>
            <w:tcW w:w="0" w:type="dxa"/>
            <w:vAlign w:val="bottom"/>
          </w:tcPr>
          <w:p>
            <w:pPr>
              <w:spacing w:after="0"/>
              <w:rPr>
                <w:sz w:val="1"/>
                <w:szCs w:val="1"/>
                <w:color w:val="auto"/>
              </w:rPr>
            </w:pPr>
          </w:p>
        </w:tc>
      </w:tr>
      <w:tr>
        <w:trPr>
          <w:trHeight w:val="230"/>
        </w:trPr>
        <w:tc>
          <w:tcPr>
            <w:tcW w:w="9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 at fair value</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0" w:type="dxa"/>
            <w:vAlign w:val="bottom"/>
          </w:tcPr>
          <w:p>
            <w:pPr>
              <w:spacing w:after="0"/>
              <w:rPr>
                <w:sz w:val="1"/>
                <w:szCs w:val="1"/>
                <w:color w:val="auto"/>
              </w:rPr>
            </w:pPr>
          </w:p>
        </w:tc>
      </w:tr>
      <w:tr>
        <w:trPr>
          <w:trHeight w:val="229"/>
        </w:trPr>
        <w:tc>
          <w:tcPr>
            <w:tcW w:w="9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32.81</w:t>
            </w:r>
          </w:p>
        </w:tc>
        <w:tc>
          <w:tcPr>
            <w:tcW w:w="0" w:type="dxa"/>
            <w:vAlign w:val="bottom"/>
          </w:tcPr>
          <w:p>
            <w:pPr>
              <w:spacing w:after="0"/>
              <w:rPr>
                <w:sz w:val="1"/>
                <w:szCs w:val="1"/>
                <w:color w:val="auto"/>
              </w:rPr>
            </w:pPr>
          </w:p>
        </w:tc>
      </w:tr>
      <w:tr>
        <w:trPr>
          <w:trHeight w:val="229"/>
        </w:trPr>
        <w:tc>
          <w:tcPr>
            <w:tcW w:w="9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0" w:type="dxa"/>
            <w:vAlign w:val="bottom"/>
          </w:tcPr>
          <w:p>
            <w:pPr>
              <w:spacing w:after="0"/>
              <w:rPr>
                <w:sz w:val="1"/>
                <w:szCs w:val="1"/>
                <w:color w:val="auto"/>
              </w:rPr>
            </w:pPr>
          </w:p>
        </w:tc>
      </w:tr>
      <w:tr>
        <w:trPr>
          <w:trHeight w:val="248"/>
        </w:trPr>
        <w:tc>
          <w:tcPr>
            <w:tcW w:w="8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Outstanding—end of period</w:t>
            </w:r>
          </w:p>
        </w:tc>
        <w:tc>
          <w:tcPr>
            <w:tcW w:w="1000" w:type="dxa"/>
            <w:vAlign w:val="bottom"/>
            <w:tcBorders>
              <w:top w:val="single" w:sz="8" w:color="auto"/>
              <w:bottom w:val="single" w:sz="8" w:color="auto"/>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3,979</w:t>
            </w:r>
          </w:p>
        </w:tc>
        <w:tc>
          <w:tcPr>
            <w:tcW w:w="340" w:type="dxa"/>
            <w:vAlign w:val="bottom"/>
            <w:tcBorders>
              <w:top w:val="single" w:sz="8" w:color="CCEEFF"/>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254" w:lineRule="exact"/>
        <w:rPr>
          <w:sz w:val="20"/>
          <w:szCs w:val="20"/>
          <w:color w:val="auto"/>
        </w:rPr>
      </w:pPr>
    </w:p>
    <w:p>
      <w:pPr>
        <w:ind w:right="20" w:firstLine="693"/>
        <w:spacing w:after="0" w:line="266" w:lineRule="auto"/>
        <w:rPr>
          <w:sz w:val="20"/>
          <w:szCs w:val="20"/>
          <w:color w:val="auto"/>
        </w:rPr>
      </w:pPr>
      <w:r>
        <w:rPr>
          <w:rFonts w:ascii="Times New Roman" w:cs="Times New Roman" w:eastAsia="Times New Roman" w:hAnsi="Times New Roman"/>
          <w:sz w:val="18"/>
          <w:szCs w:val="18"/>
          <w:color w:val="auto"/>
        </w:rPr>
        <w:t>Purchases under the 2021 Employee Stock Purchase Plan (the "ESPP") during the nine months ended September 30, 2024 and 2023 were 119,425 shares and 117,687 shares, respectively, at an average purchase price per share of $12.23 and $16.25, respectively. At September 30, 2024, approximately 2.7 million shares of common stock remained available under the ESPP.</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Stock-based compensation related to the ESPP is included in the stock-based compensation expense table above combined with the expense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associated with our restricted stock units, PSUs, and performance share options. Stock-based compensation related to the ESPP was $271,000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$437,000 for the three months ended September 30, 2024 and 2023, respectively, and $922,000 and $1.5 million for the nine months ended September 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and 2023, respectively.</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REVENUE AND CONTRACT LIABILITY</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Unearned Revenue</w:t>
      </w:r>
    </w:p>
    <w:p>
      <w:pPr>
        <w:spacing w:after="0" w:line="254"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unearned revenue from contracts with customers, including significant changes in unearned revenue balances during the periods presented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6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23"/>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Unearned revenue at December 31, 2022</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center"/>
              <w:ind w:left="1010"/>
              <w:spacing w:after="0"/>
              <w:rPr>
                <w:sz w:val="20"/>
                <w:szCs w:val="20"/>
                <w:color w:val="auto"/>
              </w:rPr>
            </w:pPr>
            <w:r>
              <w:rPr>
                <w:rFonts w:ascii="Times New Roman" w:cs="Times New Roman" w:eastAsia="Times New Roman" w:hAnsi="Times New Roman"/>
                <w:sz w:val="18"/>
                <w:szCs w:val="18"/>
                <w:color w:val="auto"/>
                <w:w w:val="96"/>
              </w:rPr>
              <w:t>44,480</w:t>
            </w:r>
          </w:p>
        </w:tc>
      </w:tr>
      <w:tr>
        <w:trPr>
          <w:trHeight w:val="229"/>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due to deferral of revenue at period end, net</w:t>
            </w:r>
          </w:p>
        </w:tc>
        <w:tc>
          <w:tcPr>
            <w:tcW w:w="440" w:type="dxa"/>
            <w:vAlign w:val="bottom"/>
          </w:tcPr>
          <w:p>
            <w:pPr>
              <w:spacing w:after="0"/>
              <w:rPr>
                <w:sz w:val="19"/>
                <w:szCs w:val="19"/>
                <w:color w:val="auto"/>
              </w:rPr>
            </w:pPr>
          </w:p>
        </w:tc>
        <w:tc>
          <w:tcPr>
            <w:tcW w:w="174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6"/>
              </w:rPr>
              <w:t>35,290</w:t>
            </w:r>
          </w:p>
        </w:tc>
      </w:tr>
      <w:tr>
        <w:trPr>
          <w:trHeight w:val="23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due to beginning contract liabilities recognized as revenue</w:t>
            </w:r>
          </w:p>
        </w:tc>
        <w:tc>
          <w:tcPr>
            <w:tcW w:w="4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center"/>
              <w:ind w:left="990"/>
              <w:spacing w:after="0"/>
              <w:rPr>
                <w:sz w:val="20"/>
                <w:szCs w:val="20"/>
                <w:color w:val="auto"/>
              </w:rPr>
            </w:pPr>
            <w:r>
              <w:rPr>
                <w:rFonts w:ascii="Times New Roman" w:cs="Times New Roman" w:eastAsia="Times New Roman" w:hAnsi="Times New Roman"/>
                <w:sz w:val="18"/>
                <w:szCs w:val="18"/>
                <w:color w:val="auto"/>
              </w:rPr>
              <w:t>(30,173)</w:t>
            </w:r>
          </w:p>
        </w:tc>
      </w:tr>
      <w:tr>
        <w:trPr>
          <w:trHeight w:val="223"/>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Unearned revenue at December 31, 2023</w:t>
            </w:r>
          </w:p>
        </w:tc>
        <w:tc>
          <w:tcPr>
            <w:tcW w:w="4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center"/>
              <w:ind w:left="1010"/>
              <w:spacing w:after="0"/>
              <w:rPr>
                <w:sz w:val="20"/>
                <w:szCs w:val="20"/>
                <w:color w:val="auto"/>
              </w:rPr>
            </w:pPr>
            <w:r>
              <w:rPr>
                <w:rFonts w:ascii="Times New Roman" w:cs="Times New Roman" w:eastAsia="Times New Roman" w:hAnsi="Times New Roman"/>
                <w:sz w:val="18"/>
                <w:szCs w:val="18"/>
                <w:color w:val="auto"/>
                <w:w w:val="96"/>
              </w:rPr>
              <w:t>49,597</w:t>
            </w:r>
          </w:p>
        </w:tc>
      </w:tr>
      <w:tr>
        <w:trPr>
          <w:trHeight w:val="223"/>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due to deferral of revenue at period end, net</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center"/>
              <w:ind w:left="1010"/>
              <w:spacing w:after="0"/>
              <w:rPr>
                <w:sz w:val="20"/>
                <w:szCs w:val="20"/>
                <w:color w:val="auto"/>
              </w:rPr>
            </w:pPr>
            <w:r>
              <w:rPr>
                <w:rFonts w:ascii="Times New Roman" w:cs="Times New Roman" w:eastAsia="Times New Roman" w:hAnsi="Times New Roman"/>
                <w:sz w:val="18"/>
                <w:szCs w:val="18"/>
                <w:color w:val="auto"/>
                <w:w w:val="96"/>
              </w:rPr>
              <w:t>33,706</w:t>
            </w:r>
          </w:p>
        </w:tc>
      </w:tr>
      <w:tr>
        <w:trPr>
          <w:trHeight w:val="230"/>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Decrease due to beginning contract liabilities recognized as revenue</w:t>
            </w:r>
          </w:p>
        </w:tc>
        <w:tc>
          <w:tcPr>
            <w:tcW w:w="4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center"/>
              <w:ind w:left="990"/>
              <w:spacing w:after="0"/>
              <w:rPr>
                <w:sz w:val="20"/>
                <w:szCs w:val="20"/>
                <w:color w:val="auto"/>
              </w:rPr>
            </w:pPr>
            <w:r>
              <w:rPr>
                <w:rFonts w:ascii="Times New Roman" w:cs="Times New Roman" w:eastAsia="Times New Roman" w:hAnsi="Times New Roman"/>
                <w:sz w:val="18"/>
                <w:szCs w:val="18"/>
                <w:color w:val="auto"/>
              </w:rPr>
              <w:t>(38,354)</w:t>
            </w:r>
          </w:p>
        </w:tc>
      </w:tr>
      <w:tr>
        <w:trPr>
          <w:trHeight w:val="248"/>
        </w:trPr>
        <w:tc>
          <w:tcPr>
            <w:tcW w:w="9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Unearned revenue at September 30, 2024</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center"/>
              <w:ind w:left="1010"/>
              <w:spacing w:after="0"/>
              <w:rPr>
                <w:sz w:val="20"/>
                <w:szCs w:val="20"/>
                <w:color w:val="auto"/>
              </w:rPr>
            </w:pPr>
            <w:r>
              <w:rPr>
                <w:rFonts w:ascii="Times New Roman" w:cs="Times New Roman" w:eastAsia="Times New Roman" w:hAnsi="Times New Roman"/>
                <w:sz w:val="18"/>
                <w:szCs w:val="18"/>
                <w:color w:val="auto"/>
                <w:w w:val="96"/>
              </w:rPr>
              <w:t>44,949</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total unearned revenue related to outstanding loyalty program rewards was $13.2 million and $12.1 million at September 30, 2024</w:t>
      </w:r>
    </w:p>
    <w:p>
      <w:pPr>
        <w:spacing w:after="0" w:line="27"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and December 31, 2023, respectively. Breakage income related to loyalty program rewards and gift cards is recognized in Net revenue in our consolidated statements of operations. Breakage included in revenue was $1.1 million and $948,000 for the three months ended September 30, 2024 and 2023, respectively, and $4.5 million and $2.8 million for the nine months ended September 30, 2024 and 2023, respectively. The timing of revenue recognition of these reward dollars is driven by actual customer activities, such as redemptions and expirations. At September 30, 2024 and December 31, 2023, we had an additional $4.8 million and $5.6 million, respectively, of unearned contract revenue classified within Other long-term liabilities on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returns allowance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additions to and deductions from the sales returns allowance, which is included in our Accrued liabilities balance in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our consolidated balance sheets (in thousands):</w:t>
            </w:r>
          </w:p>
        </w:tc>
        <w:tc>
          <w:tcPr>
            <w:tcW w:w="44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33"/>
        </w:trPr>
        <w:tc>
          <w:tcPr>
            <w:tcW w:w="906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23"/>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returns at December 31, 2022</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10,222</w:t>
            </w:r>
          </w:p>
        </w:tc>
      </w:tr>
      <w:tr>
        <w:trPr>
          <w:trHeight w:val="229"/>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to the allowance</w:t>
            </w: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121,939</w:t>
            </w:r>
          </w:p>
        </w:tc>
      </w:tr>
      <w:tr>
        <w:trPr>
          <w:trHeight w:val="22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Deductions from the allowance</w:t>
            </w:r>
          </w:p>
        </w:tc>
        <w:tc>
          <w:tcPr>
            <w:tcW w:w="4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(123,510)</w:t>
            </w:r>
          </w:p>
        </w:tc>
      </w:tr>
      <w:tr>
        <w:trPr>
          <w:trHeight w:val="223"/>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returns at December 31, 2023</w:t>
            </w:r>
          </w:p>
        </w:tc>
        <w:tc>
          <w:tcPr>
            <w:tcW w:w="4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8,651</w:t>
            </w:r>
          </w:p>
        </w:tc>
      </w:tr>
      <w:tr>
        <w:trPr>
          <w:trHeight w:val="223"/>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to the allowance</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80,364</w:t>
            </w:r>
          </w:p>
        </w:tc>
      </w:tr>
      <w:tr>
        <w:trPr>
          <w:trHeight w:val="230"/>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Deductions from the allowance</w:t>
            </w:r>
          </w:p>
        </w:tc>
        <w:tc>
          <w:tcPr>
            <w:tcW w:w="4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(81,950)</w:t>
            </w:r>
          </w:p>
        </w:tc>
      </w:tr>
      <w:tr>
        <w:trPr>
          <w:trHeight w:val="248"/>
        </w:trPr>
        <w:tc>
          <w:tcPr>
            <w:tcW w:w="9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returns at September 30, 2024</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7,065</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NET LOSS PER SHARE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common share for the periods indicated (in thousands, except per</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 data):</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8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80" w:type="dxa"/>
            <w:vAlign w:val="bottom"/>
          </w:tcPr>
          <w:p>
            <w:pPr>
              <w:spacing w:after="0"/>
              <w:rPr>
                <w:sz w:val="24"/>
                <w:szCs w:val="24"/>
                <w:color w:val="auto"/>
              </w:rPr>
            </w:pPr>
          </w:p>
        </w:tc>
        <w:tc>
          <w:tcPr>
            <w:tcW w:w="246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8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80" w:type="dxa"/>
            <w:vAlign w:val="bottom"/>
          </w:tcPr>
          <w:p>
            <w:pPr>
              <w:spacing w:after="0"/>
              <w:rPr>
                <w:sz w:val="20"/>
                <w:szCs w:val="20"/>
                <w:color w:val="auto"/>
              </w:rPr>
            </w:pPr>
          </w:p>
        </w:tc>
        <w:tc>
          <w:tcPr>
            <w:tcW w:w="246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6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shareholders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(61,030)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(63,049)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(177,536)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(146,849)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of common stock outstanding—basic</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45,771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45,225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45,700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Weighted average shares of common stock outstanding—diluted</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45,771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45,225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45,700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45,164</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6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share of common stock:</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5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(1.39)</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(3.88)</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shares were excluded from the calculation of diluted shares outstanding as their effect would have been anti-dilutive (in thousands):</w:t>
      </w:r>
    </w:p>
    <w:p>
      <w:pPr>
        <w:spacing w:after="0" w:line="10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620" w:type="dxa"/>
            <w:vAlign w:val="bottom"/>
          </w:tcPr>
          <w:p>
            <w:pPr>
              <w:spacing w:after="0"/>
              <w:rPr>
                <w:sz w:val="18"/>
                <w:szCs w:val="18"/>
                <w:color w:val="auto"/>
              </w:rPr>
            </w:pPr>
          </w:p>
        </w:tc>
        <w:tc>
          <w:tcPr>
            <w:tcW w:w="2240" w:type="dxa"/>
            <w:vAlign w:val="bottom"/>
            <w:gridSpan w:val="4"/>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gridSpan w:val="3"/>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620" w:type="dxa"/>
            <w:vAlign w:val="bottom"/>
          </w:tcPr>
          <w:p>
            <w:pPr>
              <w:spacing w:after="0"/>
              <w:rPr>
                <w:sz w:val="20"/>
                <w:szCs w:val="20"/>
                <w:color w:val="auto"/>
              </w:rPr>
            </w:pPr>
          </w:p>
        </w:tc>
        <w:tc>
          <w:tcPr>
            <w:tcW w:w="2240" w:type="dxa"/>
            <w:vAlign w:val="bottom"/>
            <w:tcBorders>
              <w:bottom w:val="single" w:sz="8" w:color="auto"/>
            </w:tcBorders>
            <w:gridSpan w:val="4"/>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4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740" w:type="dxa"/>
            <w:vAlign w:val="bottom"/>
            <w:tcBorders>
              <w:bottom w:val="single" w:sz="8" w:color="auto"/>
            </w:tcBorders>
            <w:gridSpan w:val="3"/>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3"/>
        </w:trPr>
        <w:tc>
          <w:tcPr>
            <w:tcW w:w="56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13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 PSUs, and Performance Share Option</w:t>
            </w:r>
          </w:p>
        </w:tc>
        <w:tc>
          <w:tcPr>
            <w:tcW w:w="84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3,980</w:t>
            </w:r>
          </w:p>
        </w:tc>
        <w:tc>
          <w:tcPr>
            <w:tcW w:w="1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1,366</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3,980</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w:t>
            </w:r>
          </w:p>
        </w:tc>
      </w:tr>
      <w:tr>
        <w:trPr>
          <w:trHeight w:val="234"/>
        </w:trPr>
        <w:tc>
          <w:tcPr>
            <w:tcW w:w="6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r>
    </w:tbl>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SUBSEQUENT EVENTS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Container Store Group, Inc.</w:t>
      </w:r>
    </w:p>
    <w:p>
      <w:pPr>
        <w:spacing w:after="0" w:line="254"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In October 2024, the Company entered into a series of transactions with The Container Store Group, Inc. ("TCS"), which provides for, among other things, entry into a collaboration agreement and a $40 million investment into TCS (the "Equity Investment"). The Equity Investment contemplates the issuance and sale by TCS to the Company of: (a) 40,000 shares of a new class of its capital stock titled its "Series B Convertible Preferred Stock" (the "Series B Convertible Preferred Stock") with an initial conversion price of $17.25 plus (b) the number of shares of Series B Convertible Preferred Stock attributable to the Company's expenses incurred in connection with the Purchase Agreement and the Equity Investment (not to exceed</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$500,000/500 shares) for an aggregate purchase price of $40 million pursuant to the terms of the securities purchase agreement entered into by the parties (the "Purchase Agreement"). The Purchase Agreement contains termination rights for the Company and TCS, including, among others, by either the Company or TCS if the Closing does not occur before January 31, 2025 by reason of the failure of any of the applicable closing conditions set forth in the Purchase Agreement to be satisfied, including the Company's sole discretion to determine whether the terms of any refinancing or amendment are commercially acceptable.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Kirkland's Stores, Inc.</w:t>
      </w:r>
    </w:p>
    <w:p>
      <w:pPr>
        <w:spacing w:after="0" w:line="254"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October 2024, the Company entered into a strategic business relationship with Kirkland's Stores, Inc. ("Kirkland's") which includes, among other things, entry into a secured Term Loan Credit Agreement ("Credit Agreement"). The Company will provide $17 million in debt financing to Kirkland's, including an $8.5 million promissory note and an $8.5 million convertible note (the "Loan"). The Credit Agreement bears interest on the unpaid principal balance at an annual rate equal to the Secured Overnight Financing Rate, or SOFR rate, for a one-month, two-month or six-month SOFR period (depending on which option is elected) plus 2.75%, established by the Federal Reserve Bank of New York. The $8.5 million convertible note (plus accrued interest) (the "Conversion Amount") can be converted into Kirkland's common stock at a conversion price of $1.85 per share in an amount not to exceed 19.9% of the outstanding shares at the Company's election. The Company will also invest $8 million in Kirkland's common stock pursuant to Subscription Agreement and Investor Rights Agreement (collectively the "Subscription Agreement"), subject to receiving approval of Kirkland's stockholders.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Line of Credit</w:t>
      </w:r>
    </w:p>
    <w:p>
      <w:pPr>
        <w:spacing w:after="0" w:line="254"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October 2024, the Company entered into a Loan and Security Agreement (the "Loan Agreement") with BMO Bank N.A. (in such capacity, "BMO"), pursuant to which BMO agrees to lend the Company up to $25 million on a one-year revolving line of credit to aid the Company in securing strategic ventures. In connection with the Loan Agreement, BMO issued a revolving line of credit promissory note (the "Revolving Note") and granted a lien on the cash collateral account specified in the Loan Agreement (the "Cash Collateral Account"). The revolving line of credit bears interest on the unpaid principal balance at an annual rate equal to the Secured Overnight Financing Rate, or SOFR rate, for a one-month interest period plus 1.00%, established by the Federal Reserve Bank of New York. The Company is obligated to pay certain commitment fees on undrawn amounts under the Loan Agreement in amounts specified in the Loan Agreement. The Loan Agreement and Revolving Note will terminate on October 18, 2025 and loans thereunder may be borrowed, repaid, and reborrowed up to such date. The Loan Agreement is subject to limited affirmative covenants and negative covenants, including the requirement that the Company maintain cash in the Cash Collateral Account in an amount that is three percent greater than BMO's aggregate commitments under the Loan Agreement.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Reduction-in-force</w:t>
      </w:r>
    </w:p>
    <w:p>
      <w:pPr>
        <w:spacing w:after="0" w:line="254"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In October 2024, the Company announced a reduction-in-force (the "RIF") affecting approximately 20% of the Company's workforce, with employee notification to occur within the fourth quarter of 2024. The Company took this step to strategically reduce costs in non-critical areas and create a more streamlined organization to support its asset-light business model.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4"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provides information that we believe to be relevant to an understanding of our unaudited consolidated financial condition and results of operations. The statements in this section regarding industry outlook, our expectations regarding the performance of our business and any other non-historical statements are forward-looking statements. Our actual results and outcomes may differ materially from those contained in or implied by any forward-looking statements contained herein. These forward-looking statements are subject to numerous risks, uncertainties, and other important factors, including, but not limited to, those described in "Special Cautionary Note Regarding Forward Looking Statements" and in Part II, Item 1A, "Risk Factors" included in this Quarterly Report on Form 10-Q. You should read the following discussion together with our unaudited consolidated financial statements and related notes included in this Quarterly Report on Form 10-Q and with the sections entitled "Special Cautionary Note Regarding Forward-Looking Statements," Part I, Item 1A, "Risk Factors," and our consolidated financial statements and related notes included in our Annual Report on Form 10-K for the year ended December 31, 2023, filed with the SEC on February 23, 2024.</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are an asset-light ecommerce company that owns or has ownership interests in various retail brands and has created a cooperative affinity model, with the aim of offering a comprehensive array of products and services that enable its customers to unlock their homes' potential through its vast data cooperative. In addition, we also offer an increasing number of add-on services across our platforms, including warranties, shipping insurance, installation services, and gain access to home loans. We will also be expanding our global loyalty program, Beyond +, to encompass all affiliated entities across our cooperative in order to incentivize customer retention within our growing ecosystem We currently own Overstock, Bed Bath &amp; Beyond, Baby &amp; Beyond, and Zulily. As used herein, "Beyond," "the Company," "we," "our" and similar terms include Beyond, Inc. and its controlled subsidiaries, unless the context indicates otherwise.</w:t>
      </w:r>
    </w:p>
    <w:p>
      <w:pPr>
        <w:spacing w:after="0" w:line="21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Through our Bed Bath &amp; Beyond brand, we aim to provide an extensive array of home-related products tailored specifically for our target customers - consumers who seek comprehensive support throughout their shopping journey, aspiring to discover quality, stylish products at competitive prices that align with their budget requirements. We regularly refresh our product assortment to reflect the evolving preferences of our customers and aim to stay aligned with current trends. The mission of this brand is to achieve category-leading ownership of four distinct rooms of the home: the bedroom, the bathroom, the kitchen, and the patio, and our goal is for our assortment to include not only core legacy categories like bedding and kitchenware, but also adjacent categories like bedroom and outdoor furniture and rugs. Leveraging an asset-light supply chain, we offer direct shipping to customers from both our suppliers and our leased warehouse.</w:t>
      </w:r>
    </w:p>
    <w:p>
      <w:pPr>
        <w:spacing w:after="0" w:line="21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Bed Bath &amp; Beyond's strategic priorities include assortment curation to elevate product quality levels and improve ease of selection, as well as the creation of specialized experiences centered around our target customers' key life events, such as getting married, having a baby, sending a child to college, and moving homes.</w:t>
      </w:r>
    </w:p>
    <w:p>
      <w:pPr>
        <w:spacing w:after="0" w:line="203"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Through our Overstock brand, we aim to provide a wide array of quality goods at discounted prices, and a treasure hunt-like experience for our target customers - consumers who are highly engaged, very accustomed to purchasing online, and actively seeking great deals. The mission of this brand is to provide 'crazy good deals' - a giant assortment of products at significantly discounted prices. Our product assortment includes core legacy categories such as indoor and outdoor furniture, apparel and footwear, rugs, décor, lighting, jewelry and watches, sports and entertainment, as well as new categories including closeouts, liquidation, and factory direct, with plans to introduce additional categories in the near term.</w:t>
      </w:r>
    </w:p>
    <w:p>
      <w:pPr>
        <w:spacing w:after="0" w:line="210"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Zulily's primary focus is attracting a loyal customer base with flash sales on women's, kid's, and men's apparel, footwear, beauty, and wellness. The Zulily acquisition has provided the opportunity to expand our customer base with a younger demographic that shops more frequently with us than our other Beyond brands. Our marketing mix is also diversified and favors a social-first approach that is less reliant on search engine marketing.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Commentary</w:t>
      </w:r>
    </w:p>
    <w:p>
      <w:pPr>
        <w:spacing w:after="0" w:line="227"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This executive commentary is intended to provide investors with a view of our business through the eyes of our management. As an executive commentary, it necessarily focuses on selected aspects of our business. This executive commentary is intended as a supplement to, but not a substitute for, the more detailed discussion of our business included elsewhere herein. Investors are cautioned to read our entire "Management's Discussion and Analysis of Financial Condition and Results of Operations," our interim and audited financial statements, and the discussion of our business and risk factors and other information included elsewhere or incorporated in this report. This executive commentary includes forward-looking statements, and investors are cautioned to read "Special Cautionary Note Regarding Forward-Looking Statements."</w:t>
      </w:r>
    </w:p>
    <w:p>
      <w:pPr>
        <w:spacing w:after="0" w:line="21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Revenue decreased 16.6% for the three months ended September 30, 2024, compared to the same period in 2023. This decrease was primarily due to a 19% decrease in orders delivered. The decrease was partially offset by a 3% increase in average order value. The decrease in orders delivered was driven by a decline in website visits and conversion pressure influenced in part by a shift in consumer spending preferences and macroeconomic factors impacting consumer sentiment. The increase in average order value was largely driven by orders mixing into categories with higher average unit retail price.</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Gross profit decreased 20.4% for the three months ended September 30, 2024, compared to the same period in 2023, primarily due to a decrease in revenue. Gross margin decreased to 21.2% for the three months ended September 30, 2024, compared to 22.2% for the same period in 2023, primarily driven by product mix related costs, including net return expenses.</w:t>
      </w:r>
    </w:p>
    <w:p>
      <w:pPr>
        <w:spacing w:after="0" w:line="20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Sales and marketing expenses as a percent of revenue increased from 15.4% for the three months ended September 30, 2023 to 16.7% for the three months ended September 30, 2024, primarily due to increased performance marketing expense and brand advertising.</w:t>
      </w:r>
    </w:p>
    <w:p>
      <w:pPr>
        <w:spacing w:after="0" w:line="203"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Technology expenses totaled $27.7 million for the three months ended September 30, 2024, a $1.6 million decrease compared to the three months ended September 30, 2023, primarily due to a reduction in staff-related expenses.</w:t>
      </w:r>
    </w:p>
    <w:p>
      <w:pPr>
        <w:spacing w:after="0" w:line="18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decreased $6.5 million for the three months ended September 30, 2024 compared to the three months ended September 30, 2023, primarily due to a reduction in third-party and staff-related expenses.</w:t>
      </w:r>
    </w:p>
    <w:p>
      <w:pPr>
        <w:spacing w:after="0" w:line="18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Customer service and merchant fees decreased $0.5 million for the three months ended September 30, 2024 compared to the three months ended September 30, 2023, primarily due to decreased order volume, partially offset by increased outsourced labor.</w:t>
      </w:r>
    </w:p>
    <w:p>
      <w:pPr>
        <w:spacing w:after="0" w:line="189" w:lineRule="exact"/>
        <w:rPr>
          <w:sz w:val="20"/>
          <w:szCs w:val="20"/>
          <w:color w:val="auto"/>
        </w:rPr>
      </w:pPr>
    </w:p>
    <w:p>
      <w:pPr>
        <w:ind w:right="1040" w:firstLine="648"/>
        <w:spacing w:after="0" w:line="282" w:lineRule="auto"/>
        <w:rPr>
          <w:sz w:val="20"/>
          <w:szCs w:val="20"/>
          <w:color w:val="auto"/>
        </w:rPr>
      </w:pPr>
      <w:r>
        <w:rPr>
          <w:rFonts w:ascii="Times New Roman" w:cs="Times New Roman" w:eastAsia="Times New Roman" w:hAnsi="Times New Roman"/>
          <w:sz w:val="18"/>
          <w:szCs w:val="18"/>
          <w:color w:val="auto"/>
        </w:rPr>
        <w:t>Our consolidated cash and cash equivalents balance decreased from $302.6 million as of December 31, 2023, to $140.4 million as of September 30,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commentary related to macroeconomic trends</w:t>
      </w:r>
    </w:p>
    <w:p>
      <w:pPr>
        <w:spacing w:after="0" w:line="25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We continue to monitor recent macroeconomic trends and geopolitical events, including, without limitation, the upcoming U.S. presidential election, higher interest rates, and inflation. These events have and may continue to negatively impact consumer confidence and consumer spending, which have and may continue to adversely affect our business and our results of operations. Due to the uncertain and constantly evolving nature and volatility of these trends and events, we cannot currently predict their long-term impact on our operations and financial results. As of September 30, 2024, the challenges arising from these events have not adversely affected our liquidity or capacity to service our debt, nor have these conditions required us to reduce our capital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Comparisons of Three Months Ended September 30, 2024 to Three Months Ended September 30, 2023, and Nine Months Ended September 30, 2024 to Nine Months Ended September 30, 2023</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revenue, cost of goods sold, gross profit and gross margin</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net revenue, cost of goods sold, and gross profit (in thousands):</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4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7"/>
                <w:szCs w:val="17"/>
                <w:color w:val="auto"/>
              </w:rPr>
            </w:pPr>
          </w:p>
        </w:tc>
        <w:tc>
          <w:tcPr>
            <w:tcW w:w="266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5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4"/>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5"/>
        </w:trPr>
        <w:tc>
          <w:tcPr>
            <w:tcW w:w="5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revenue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311,428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373,313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1,091,813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1,176,664</w:t>
            </w:r>
          </w:p>
        </w:tc>
      </w:tr>
      <w:tr>
        <w:trPr>
          <w:trHeight w:val="229"/>
        </w:trPr>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goods sold (1)</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5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Product costs and other cost of goods sold</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245,453</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290,410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871,311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884,508</w:t>
            </w:r>
          </w:p>
        </w:tc>
      </w:tr>
      <w:tr>
        <w:trPr>
          <w:trHeight w:val="223"/>
        </w:trPr>
        <w:tc>
          <w:tcPr>
            <w:tcW w:w="5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Gross profit (1)</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65,975</w:t>
            </w:r>
          </w:p>
        </w:tc>
        <w:tc>
          <w:tcPr>
            <w:tcW w:w="1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82,903</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220,502</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292,156</w:t>
            </w:r>
          </w:p>
        </w:tc>
      </w:tr>
    </w:tbl>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Year-over-year percentage change</w:t>
            </w:r>
          </w:p>
        </w:tc>
        <w:tc>
          <w:tcPr>
            <w:tcW w:w="142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40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42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420" w:type="dxa"/>
            <w:vAlign w:val="bottom"/>
            <w:tcBorders>
              <w:top w:val="single" w:sz="8" w:color="auto"/>
            </w:tcBorders>
            <w:shd w:val="clear" w:color="auto" w:fill="CCEEFF"/>
          </w:tcPr>
          <w:p>
            <w:pPr>
              <w:spacing w:after="0"/>
              <w:rPr>
                <w:sz w:val="20"/>
                <w:szCs w:val="20"/>
                <w:color w:val="auto"/>
              </w:rPr>
            </w:pPr>
          </w:p>
        </w:tc>
      </w:tr>
      <w:tr>
        <w:trPr>
          <w:trHeight w:val="229"/>
        </w:trPr>
        <w:tc>
          <w:tcPr>
            <w:tcW w:w="5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revenue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profit (1)</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5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Percent of net revenue</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goods sold (1)</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5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Product costs and other cost of goods sold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78.8 %</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77.8 %</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79.8 %</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75.2 %</w:t>
            </w:r>
          </w:p>
        </w:tc>
      </w:tr>
      <w:tr>
        <w:trPr>
          <w:trHeight w:val="229"/>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margin (1)</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21.2 %</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22.2 %</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20.2 %</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24.8 %</w:t>
            </w: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w:t>
      </w:r>
    </w:p>
    <w:p>
      <w:pPr>
        <w:spacing w:after="0" w:line="117" w:lineRule="exact"/>
        <w:rPr>
          <w:sz w:val="20"/>
          <w:szCs w:val="20"/>
          <w:color w:val="auto"/>
        </w:rPr>
      </w:pPr>
    </w:p>
    <w:p>
      <w:pPr>
        <w:ind w:left="980" w:right="120" w:hanging="324"/>
        <w:spacing w:after="0" w:line="256" w:lineRule="auto"/>
        <w:tabs>
          <w:tab w:leader="none" w:pos="104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first quarter of fiscal 2024, we changed our presentation for merchant fees associated with customer payments made by credit cards and other payment methods and customer service costs. Under the new presentation, we include such expenses in a separate line in operating expenses labeled, "Customer service and merchant fees," whereas previously, these expenses were included in "Merchant fees, customer service, and other" as a component of Cost of goods sold. All periods presented have been adjusted to reflect this change in presentation. See Note 2—Summary of Significant Accounting Policies, in the Notes to Unaudited Consolidated Financial Statements included in Item 1, Part I, Financial Statements (Unaudited) of this Quarterly Report on Form 10-Q.</w:t>
      </w:r>
    </w:p>
    <w:p>
      <w:pPr>
        <w:spacing w:after="0" w:line="214"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The 16.6% decrease in net revenue for the three months ended September 30, 2024, as compared to the same period in 2023, was primarily due to a 19% decrease in orders delivered. The decrease was partially offset by a 3% increase in average order value. The decrease in orders delivered was driven by a decline in website visits and conversion pressure influenced in part by a shift in consumer spending preferences and macroeconomic factors impacting consumer sentiment. The increase in average order value was largely driven by orders mixing into categories with higher average unit retail price.</w:t>
      </w:r>
    </w:p>
    <w:p>
      <w:pPr>
        <w:spacing w:after="0" w:line="20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7.2% decrease in net revenue for the nine months ended September 30, 2024, as compared to the same period in 2023, was primarily due to an 11% decrease in average order value. The decrease was partially offset by a 4% increase in orders delivered. The decrease in average order value was largely driven by orders mixing into categories with lower average unit retail price. The increase in orders delivered was driven by growth in active customers, partially offset by macroeconomic factors impacting consumer sentiment and a shift in consumer spending preferences.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International net revenues were less than 4% of total net revenues for each of the three and nine months ended September 30,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estimate of average transit times (days)</w:t>
      </w:r>
    </w:p>
    <w:p>
      <w:pPr>
        <w:spacing w:after="0" w:line="227"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Our revenue related to merchandise sales is recognized upon delivery to our customers. As we ship high volumes of packages through multiple carriers, it is not practical for us to track the actual delivery date of each shipment. Therefore, we use estimates to determine which shipments are delivered and, therefore, recognized as revenue at the end of the period. Our delivery date estimates are based on average shipping transit times. We review and update our estimates on a quarterly basis based on our actual transit time experience. However, actual shipping times may differ from our estimates, which can be further impacted by uncertainty, volatility, and any disruption to our carriers caused by certain macroeconomic conditions, such as supply chain challenges, inflation, rising interest rates, climate and weather events, or geopolitical events.</w:t>
      </w:r>
    </w:p>
    <w:p>
      <w:pPr>
        <w:spacing w:after="0" w:line="187"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shows the effect that hypothetical changes in the estimate of average shipping transit times would have had on the reported amount of revenue and income before income taxes (in thousands):</w:t>
      </w:r>
    </w:p>
    <w:p>
      <w:pPr>
        <w:spacing w:after="0" w:line="69"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ind w:left="7540"/>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the Estimate of Average Transit Times (Days)</w:t>
            </w:r>
          </w:p>
        </w:tc>
        <w:tc>
          <w:tcPr>
            <w:tcW w:w="420" w:type="dxa"/>
            <w:vAlign w:val="bottom"/>
            <w:tcBorders>
              <w:top w:val="single" w:sz="8" w:color="auto"/>
            </w:tcBorders>
          </w:tcPr>
          <w:p>
            <w:pPr>
              <w:spacing w:after="0"/>
              <w:rPr>
                <w:sz w:val="15"/>
                <w:szCs w:val="15"/>
                <w:color w:val="auto"/>
              </w:rPr>
            </w:pPr>
          </w:p>
        </w:tc>
        <w:tc>
          <w:tcPr>
            <w:tcW w:w="2600" w:type="dxa"/>
            <w:vAlign w:val="bottom"/>
            <w:tcBorders>
              <w:top w:val="single" w:sz="8" w:color="auto"/>
            </w:tcBorders>
            <w:gridSpan w:val="2"/>
          </w:tcPr>
          <w:p>
            <w:pPr>
              <w:jc w:val="center"/>
              <w:ind w:right="540"/>
              <w:spacing w:after="0" w:line="182" w:lineRule="exact"/>
              <w:rPr>
                <w:sz w:val="20"/>
                <w:szCs w:val="20"/>
                <w:color w:val="auto"/>
              </w:rPr>
            </w:pPr>
            <w:r>
              <w:rPr>
                <w:rFonts w:ascii="Times New Roman" w:cs="Times New Roman" w:eastAsia="Times New Roman" w:hAnsi="Times New Roman"/>
                <w:sz w:val="18"/>
                <w:szCs w:val="18"/>
                <w:b w:val="1"/>
                <w:bCs w:val="1"/>
                <w:color w:val="auto"/>
                <w:w w:val="99"/>
              </w:rPr>
              <w:t>Increase (Decrease)</w:t>
            </w:r>
          </w:p>
        </w:tc>
        <w:tc>
          <w:tcPr>
            <w:tcW w:w="240" w:type="dxa"/>
            <w:vAlign w:val="bottom"/>
            <w:tcBorders>
              <w:top w:val="single" w:sz="8" w:color="auto"/>
            </w:tcBorders>
          </w:tcPr>
          <w:p>
            <w:pPr>
              <w:spacing w:after="0"/>
              <w:rPr>
                <w:sz w:val="15"/>
                <w:szCs w:val="15"/>
                <w:color w:val="auto"/>
              </w:rPr>
            </w:pPr>
          </w:p>
        </w:tc>
        <w:tc>
          <w:tcPr>
            <w:tcW w:w="2660" w:type="dxa"/>
            <w:vAlign w:val="bottom"/>
            <w:tcBorders>
              <w:top w:val="single" w:sz="8" w:color="auto"/>
            </w:tcBorders>
          </w:tcPr>
          <w:p>
            <w:pPr>
              <w:jc w:val="center"/>
              <w:ind w:right="150"/>
              <w:spacing w:after="0" w:line="182" w:lineRule="exact"/>
              <w:rPr>
                <w:sz w:val="20"/>
                <w:szCs w:val="20"/>
                <w:color w:val="auto"/>
              </w:rPr>
            </w:pPr>
            <w:r>
              <w:rPr>
                <w:rFonts w:ascii="Times New Roman" w:cs="Times New Roman" w:eastAsia="Times New Roman" w:hAnsi="Times New Roman"/>
                <w:sz w:val="18"/>
                <w:szCs w:val="18"/>
                <w:b w:val="1"/>
                <w:bCs w:val="1"/>
                <w:color w:val="auto"/>
                <w:w w:val="99"/>
              </w:rPr>
              <w:t>Increase (Decrease)</w:t>
            </w:r>
          </w:p>
        </w:tc>
        <w:tc>
          <w:tcPr>
            <w:tcW w:w="0" w:type="dxa"/>
            <w:vAlign w:val="bottom"/>
          </w:tcPr>
          <w:p>
            <w:pPr>
              <w:spacing w:after="0"/>
              <w:rPr>
                <w:sz w:val="1"/>
                <w:szCs w:val="1"/>
                <w:color w:val="auto"/>
              </w:rPr>
            </w:pPr>
          </w:p>
        </w:tc>
      </w:tr>
      <w:tr>
        <w:trPr>
          <w:trHeight w:val="243"/>
        </w:trPr>
        <w:tc>
          <w:tcPr>
            <w:tcW w:w="5320" w:type="dxa"/>
            <w:vAlign w:val="bottom"/>
            <w:gridSpan w:val="2"/>
            <w:vMerge w:val="continue"/>
          </w:tcPr>
          <w:p>
            <w:pPr>
              <w:spacing w:after="0"/>
              <w:rPr>
                <w:sz w:val="21"/>
                <w:szCs w:val="21"/>
                <w:color w:val="auto"/>
              </w:rPr>
            </w:pPr>
          </w:p>
        </w:tc>
        <w:tc>
          <w:tcPr>
            <w:tcW w:w="420" w:type="dxa"/>
            <w:vAlign w:val="bottom"/>
          </w:tcPr>
          <w:p>
            <w:pPr>
              <w:spacing w:after="0"/>
              <w:rPr>
                <w:sz w:val="21"/>
                <w:szCs w:val="21"/>
                <w:color w:val="auto"/>
              </w:rPr>
            </w:pPr>
          </w:p>
        </w:tc>
        <w:tc>
          <w:tcPr>
            <w:tcW w:w="260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240" w:type="dxa"/>
            <w:vAlign w:val="bottom"/>
          </w:tcPr>
          <w:p>
            <w:pPr>
              <w:spacing w:after="0"/>
              <w:rPr>
                <w:sz w:val="21"/>
                <w:szCs w:val="21"/>
                <w:color w:val="auto"/>
              </w:rPr>
            </w:pPr>
          </w:p>
        </w:tc>
        <w:tc>
          <w:tcPr>
            <w:tcW w:w="26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Income Before Income Taxes</w:t>
            </w:r>
          </w:p>
        </w:tc>
        <w:tc>
          <w:tcPr>
            <w:tcW w:w="0" w:type="dxa"/>
            <w:vAlign w:val="bottom"/>
          </w:tcPr>
          <w:p>
            <w:pPr>
              <w:spacing w:after="0"/>
              <w:rPr>
                <w:sz w:val="1"/>
                <w:szCs w:val="1"/>
                <w:color w:val="auto"/>
              </w:rPr>
            </w:pPr>
          </w:p>
        </w:tc>
      </w:tr>
      <w:tr>
        <w:trPr>
          <w:trHeight w:val="223"/>
        </w:trPr>
        <w:tc>
          <w:tcPr>
            <w:tcW w:w="5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tcBorders>
              <w:top w:val="single" w:sz="8" w:color="auto"/>
            </w:tcBorders>
            <w:shd w:val="clear" w:color="auto" w:fill="CCEEFF"/>
          </w:tcPr>
          <w:p>
            <w:pPr>
              <w:jc w:val="center"/>
              <w:ind w:left="1830"/>
              <w:spacing w:after="0"/>
              <w:rPr>
                <w:sz w:val="20"/>
                <w:szCs w:val="20"/>
                <w:color w:val="auto"/>
              </w:rPr>
            </w:pPr>
            <w:r>
              <w:rPr>
                <w:rFonts w:ascii="Times New Roman" w:cs="Times New Roman" w:eastAsia="Times New Roman" w:hAnsi="Times New Roman"/>
                <w:sz w:val="18"/>
                <w:szCs w:val="18"/>
                <w:color w:val="auto"/>
                <w:w w:val="98"/>
              </w:rPr>
              <w:t>(6,551)</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660" w:type="dxa"/>
            <w:vAlign w:val="bottom"/>
            <w:tcBorders>
              <w:top w:val="single" w:sz="8" w:color="auto"/>
            </w:tcBorders>
            <w:shd w:val="clear" w:color="auto" w:fill="CCEEFF"/>
          </w:tcPr>
          <w:p>
            <w:pPr>
              <w:jc w:val="center"/>
              <w:ind w:left="2130"/>
              <w:spacing w:after="0"/>
              <w:rPr>
                <w:sz w:val="20"/>
                <w:szCs w:val="20"/>
                <w:color w:val="auto"/>
              </w:rPr>
            </w:pPr>
            <w:r>
              <w:rPr>
                <w:rFonts w:ascii="Times New Roman" w:cs="Times New Roman" w:eastAsia="Times New Roman" w:hAnsi="Times New Roman"/>
                <w:sz w:val="18"/>
                <w:szCs w:val="18"/>
                <w:color w:val="auto"/>
              </w:rPr>
              <w:t>(948)</w:t>
            </w:r>
          </w:p>
        </w:tc>
        <w:tc>
          <w:tcPr>
            <w:tcW w:w="0" w:type="dxa"/>
            <w:vAlign w:val="bottom"/>
          </w:tcPr>
          <w:p>
            <w:pPr>
              <w:spacing w:after="0"/>
              <w:rPr>
                <w:sz w:val="1"/>
                <w:szCs w:val="1"/>
                <w:color w:val="auto"/>
              </w:rPr>
            </w:pPr>
          </w:p>
        </w:tc>
      </w:tr>
      <w:tr>
        <w:trPr>
          <w:trHeight w:val="22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tcPr>
          <w:p>
            <w:pPr>
              <w:jc w:val="center"/>
              <w:ind w:left="1830"/>
              <w:spacing w:after="0"/>
              <w:rPr>
                <w:sz w:val="20"/>
                <w:szCs w:val="20"/>
                <w:color w:val="auto"/>
              </w:rPr>
            </w:pPr>
            <w:r>
              <w:rPr>
                <w:rFonts w:ascii="Times New Roman" w:cs="Times New Roman" w:eastAsia="Times New Roman" w:hAnsi="Times New Roman"/>
                <w:sz w:val="18"/>
                <w:szCs w:val="18"/>
                <w:color w:val="auto"/>
                <w:w w:val="98"/>
              </w:rPr>
              <w:t>(2,808)</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660" w:type="dxa"/>
            <w:vAlign w:val="bottom"/>
          </w:tcPr>
          <w:p>
            <w:pPr>
              <w:jc w:val="center"/>
              <w:ind w:left="2130"/>
              <w:spacing w:after="0"/>
              <w:rPr>
                <w:sz w:val="20"/>
                <w:szCs w:val="20"/>
                <w:color w:val="auto"/>
              </w:rPr>
            </w:pPr>
            <w:r>
              <w:rPr>
                <w:rFonts w:ascii="Times New Roman" w:cs="Times New Roman" w:eastAsia="Times New Roman" w:hAnsi="Times New Roman"/>
                <w:sz w:val="18"/>
                <w:szCs w:val="18"/>
                <w:color w:val="auto"/>
              </w:rPr>
              <w:t>(406)</w:t>
            </w:r>
          </w:p>
        </w:tc>
        <w:tc>
          <w:tcPr>
            <w:tcW w:w="0" w:type="dxa"/>
            <w:vAlign w:val="bottom"/>
          </w:tcPr>
          <w:p>
            <w:pPr>
              <w:spacing w:after="0"/>
              <w:rPr>
                <w:sz w:val="1"/>
                <w:szCs w:val="1"/>
                <w:color w:val="auto"/>
              </w:rPr>
            </w:pPr>
          </w:p>
        </w:tc>
      </w:tr>
      <w:tr>
        <w:trPr>
          <w:trHeight w:val="230"/>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reported</w:t>
            </w:r>
          </w:p>
        </w:tc>
        <w:tc>
          <w:tcPr>
            <w:tcW w:w="420" w:type="dxa"/>
            <w:vAlign w:val="bottom"/>
            <w:shd w:val="clear" w:color="auto" w:fill="CCEEFF"/>
          </w:tcPr>
          <w:p>
            <w:pPr>
              <w:spacing w:after="0"/>
              <w:rPr>
                <w:sz w:val="19"/>
                <w:szCs w:val="19"/>
                <w:color w:val="auto"/>
              </w:rPr>
            </w:pPr>
          </w:p>
        </w:tc>
        <w:tc>
          <w:tcPr>
            <w:tcW w:w="2600" w:type="dxa"/>
            <w:vAlign w:val="bottom"/>
            <w:gridSpan w:val="2"/>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As reported</w:t>
            </w:r>
          </w:p>
        </w:tc>
        <w:tc>
          <w:tcPr>
            <w:tcW w:w="240" w:type="dxa"/>
            <w:vAlign w:val="bottom"/>
            <w:shd w:val="clear" w:color="auto" w:fill="CCEEFF"/>
          </w:tcPr>
          <w:p>
            <w:pPr>
              <w:spacing w:after="0"/>
              <w:rPr>
                <w:sz w:val="19"/>
                <w:szCs w:val="19"/>
                <w:color w:val="auto"/>
              </w:rPr>
            </w:pPr>
          </w:p>
        </w:tc>
        <w:tc>
          <w:tcPr>
            <w:tcW w:w="2660" w:type="dxa"/>
            <w:vAlign w:val="bottom"/>
            <w:shd w:val="clear" w:color="auto" w:fill="CCEEFF"/>
          </w:tcPr>
          <w:p>
            <w:pPr>
              <w:ind w:left="1800"/>
              <w:spacing w:after="0"/>
              <w:rPr>
                <w:sz w:val="20"/>
                <w:szCs w:val="20"/>
                <w:color w:val="auto"/>
              </w:rPr>
            </w:pPr>
            <w:r>
              <w:rPr>
                <w:rFonts w:ascii="Times New Roman" w:cs="Times New Roman" w:eastAsia="Times New Roman" w:hAnsi="Times New Roman"/>
                <w:sz w:val="18"/>
                <w:szCs w:val="18"/>
                <w:color w:val="auto"/>
                <w:w w:val="99"/>
              </w:rPr>
              <w:t>As reported</w:t>
            </w:r>
          </w:p>
        </w:tc>
        <w:tc>
          <w:tcPr>
            <w:tcW w:w="0" w:type="dxa"/>
            <w:vAlign w:val="bottom"/>
          </w:tcPr>
          <w:p>
            <w:pPr>
              <w:spacing w:after="0"/>
              <w:rPr>
                <w:sz w:val="1"/>
                <w:szCs w:val="1"/>
                <w:color w:val="auto"/>
              </w:rPr>
            </w:pPr>
          </w:p>
        </w:tc>
      </w:tr>
      <w:tr>
        <w:trPr>
          <w:trHeight w:val="22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tcPr>
          <w:p>
            <w:pPr>
              <w:jc w:val="center"/>
              <w:ind w:left="1870"/>
              <w:spacing w:after="0"/>
              <w:rPr>
                <w:sz w:val="20"/>
                <w:szCs w:val="20"/>
                <w:color w:val="auto"/>
              </w:rPr>
            </w:pPr>
            <w:r>
              <w:rPr>
                <w:rFonts w:ascii="Times New Roman" w:cs="Times New Roman" w:eastAsia="Times New Roman" w:hAnsi="Times New Roman"/>
                <w:sz w:val="18"/>
                <w:szCs w:val="18"/>
                <w:color w:val="auto"/>
                <w:w w:val="98"/>
              </w:rPr>
              <w:t>2,579</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660" w:type="dxa"/>
            <w:vAlign w:val="bottom"/>
          </w:tcPr>
          <w:p>
            <w:pPr>
              <w:jc w:val="center"/>
              <w:ind w:left="2150"/>
              <w:spacing w:after="0"/>
              <w:rPr>
                <w:sz w:val="20"/>
                <w:szCs w:val="20"/>
                <w:color w:val="auto"/>
              </w:rPr>
            </w:pPr>
            <w:r>
              <w:rPr>
                <w:rFonts w:ascii="Times New Roman" w:cs="Times New Roman" w:eastAsia="Times New Roman" w:hAnsi="Times New Roman"/>
                <w:sz w:val="18"/>
                <w:szCs w:val="18"/>
                <w:color w:val="auto"/>
                <w:w w:val="96"/>
              </w:rPr>
              <w:t>373</w:t>
            </w: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shd w:val="clear" w:color="auto" w:fill="CCEEFF"/>
          </w:tcPr>
          <w:p>
            <w:pPr>
              <w:jc w:val="center"/>
              <w:ind w:left="1870"/>
              <w:spacing w:after="0"/>
              <w:rPr>
                <w:sz w:val="20"/>
                <w:szCs w:val="20"/>
                <w:color w:val="auto"/>
              </w:rPr>
            </w:pPr>
            <w:r>
              <w:rPr>
                <w:rFonts w:ascii="Times New Roman" w:cs="Times New Roman" w:eastAsia="Times New Roman" w:hAnsi="Times New Roman"/>
                <w:sz w:val="18"/>
                <w:szCs w:val="18"/>
                <w:color w:val="auto"/>
                <w:w w:val="98"/>
              </w:rPr>
              <w:t>5,980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660" w:type="dxa"/>
            <w:vAlign w:val="bottom"/>
            <w:shd w:val="clear" w:color="auto" w:fill="CCEEFF"/>
          </w:tcPr>
          <w:p>
            <w:pPr>
              <w:jc w:val="center"/>
              <w:ind w:left="2150"/>
              <w:spacing w:after="0"/>
              <w:rPr>
                <w:sz w:val="20"/>
                <w:szCs w:val="20"/>
                <w:color w:val="auto"/>
              </w:rPr>
            </w:pPr>
            <w:r>
              <w:rPr>
                <w:rFonts w:ascii="Times New Roman" w:cs="Times New Roman" w:eastAsia="Times New Roman" w:hAnsi="Times New Roman"/>
                <w:sz w:val="18"/>
                <w:szCs w:val="18"/>
                <w:color w:val="auto"/>
                <w:w w:val="96"/>
              </w:rPr>
              <w:t>865</w:t>
            </w:r>
          </w:p>
        </w:tc>
        <w:tc>
          <w:tcPr>
            <w:tcW w:w="0" w:type="dxa"/>
            <w:vAlign w:val="bottom"/>
          </w:tcPr>
          <w:p>
            <w:pPr>
              <w:spacing w:after="0"/>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 and gross margin</w:t>
      </w:r>
    </w:p>
    <w:p>
      <w:pPr>
        <w:spacing w:after="0" w:line="254"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Our overall gross margins fluctuate based on factors such as competitive pricing; product costs; discounting; product mix of sales; advertising revenue and our marketing allowance program; and operational and fulfillment costs which include costs incurred to operate and staff our warehouses, including rent and depreciation expense associated with these facilities, costs to receive, inspect, pick, and prepare customer order for delivery, and direct and indirect labor costs including payroll, payroll-related benefits, and stock-based compensation, all of which we include as costs in calculating gross margin.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Gross margins for the past seven quarterly periods and fiscal year ending 2023 were: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60" w:type="dxa"/>
            <w:vAlign w:val="bottom"/>
          </w:tcPr>
          <w:p>
            <w:pPr>
              <w:spacing w:after="0"/>
              <w:rPr>
                <w:sz w:val="20"/>
                <w:szCs w:val="20"/>
                <w:color w:val="auto"/>
              </w:rPr>
            </w:pPr>
          </w:p>
        </w:tc>
        <w:tc>
          <w:tcPr>
            <w:tcW w:w="12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Q1 2023</w:t>
            </w:r>
          </w:p>
        </w:tc>
        <w:tc>
          <w:tcPr>
            <w:tcW w:w="12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Q2 2023</w:t>
            </w:r>
          </w:p>
        </w:tc>
        <w:tc>
          <w:tcPr>
            <w:tcW w:w="12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Q3 2023</w:t>
            </w: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Q4 2023</w:t>
            </w:r>
          </w:p>
        </w:tc>
        <w:tc>
          <w:tcPr>
            <w:tcW w:w="12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FY 2023</w:t>
            </w: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Q1 2024</w:t>
            </w: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Q2 2024</w:t>
            </w: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Q3 2024</w:t>
            </w:r>
          </w:p>
        </w:tc>
      </w:tr>
      <w:tr>
        <w:trPr>
          <w:trHeight w:val="223"/>
        </w:trPr>
        <w:tc>
          <w:tcPr>
            <w:tcW w:w="1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 (1)</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26.7 %</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25.5 %</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22.2 %</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19.2 %</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23.4 %</w:t>
            </w:r>
          </w:p>
        </w:tc>
        <w:tc>
          <w:tcPr>
            <w:tcW w:w="8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19.5 %</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20.1 %</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21.2 %</w:t>
            </w: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w:t>
      </w:r>
    </w:p>
    <w:p>
      <w:pPr>
        <w:spacing w:after="0" w:line="117" w:lineRule="exact"/>
        <w:rPr>
          <w:sz w:val="20"/>
          <w:szCs w:val="20"/>
          <w:color w:val="auto"/>
        </w:rPr>
      </w:pPr>
    </w:p>
    <w:p>
      <w:pPr>
        <w:ind w:right="280" w:firstLine="656"/>
        <w:spacing w:after="0" w:line="256" w:lineRule="auto"/>
        <w:tabs>
          <w:tab w:leader="none" w:pos="103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first quarter of fiscal 2024, we changed our presentation for merchant fees associated with customer payments made by credit cards and other payment methods and customer service costs. Under the new presentation, we include such expenses in a separate line in operating expenses labeled, "Customer service and merchant fees," whereas previously, these expenses were included in "Merchant fees, customer service, and other" as a component of Cost of goods sold. All periods presented have been adjusted to reflect this change in presentation. See Note 2—Summary of Significant Accounting Policies, in the Notes to Unaudited Consolidated Financial Statements included in Item 1, Part I, Financial Statements (Unaudited) of this Quarterly Report on Form 10-Q.</w:t>
      </w:r>
    </w:p>
    <w:p>
      <w:pPr>
        <w:spacing w:after="0" w:line="214"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Gross profit for the three months ended September 30, 2024 decreased 20.4% compared to the same period in 2023, primarily due to a decrease in revenue. Gross margin decreased to 21.2% for the three months ended September 30, 2024, compared to 22.2% for the same period in 2023, primarily driven by product mix related costs, including net return expenses.</w:t>
      </w:r>
    </w:p>
    <w:p>
      <w:pPr>
        <w:spacing w:after="0" w:line="203"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Gross profit for the nine months ended September 30, 2024 decreased 24.5% compared to the same period in 2023, primarily due to a decrease in gross margin. Gross margin decreased to 20.2% for the nine months ended September 30, 2024, compared to 24.8% for the same period in 2023, primarily due to increased promotional discounting and carrier costs.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254"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We use a variety of online advertising channels to attract new and repeat customers, including search engine marketing, personalized emails, mobile app, loyalty program, affiliate marketing, display banners, and social media. We also build our brand awareness through linear and streaming TV advertising.</w:t>
      </w:r>
    </w:p>
    <w:p>
      <w:pPr>
        <w:spacing w:after="0" w:line="203"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Costs associated with our discounted shipping and other promotions, such as coupons, are not included in sales and marketing expenses. Rather, they are accounted for as a reduction in revenue as they reduce the amount of consideration we expect to receive in exchange for goods or services and therefore affect net revenues and gross margin. We consider these promotions to be an effective marketing tool.</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sales and marketing expenses (in thousands):</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2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20" w:type="dxa"/>
            <w:vAlign w:val="bottom"/>
          </w:tcPr>
          <w:p>
            <w:pPr>
              <w:spacing w:after="0"/>
              <w:rPr>
                <w:sz w:val="17"/>
                <w:szCs w:val="17"/>
                <w:color w:val="auto"/>
              </w:rPr>
            </w:pPr>
          </w:p>
        </w:tc>
        <w:tc>
          <w:tcPr>
            <w:tcW w:w="2620" w:type="dxa"/>
            <w:vAlign w:val="bottom"/>
            <w:gridSpan w:val="4"/>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41"/>
        </w:trPr>
        <w:tc>
          <w:tcPr>
            <w:tcW w:w="5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00" w:type="dxa"/>
            <w:vAlign w:val="bottom"/>
            <w:tcBorders>
              <w:bottom w:val="single" w:sz="8" w:color="auto"/>
            </w:tcBorders>
          </w:tcPr>
          <w:p>
            <w:pPr>
              <w:spacing w:after="0"/>
              <w:rPr>
                <w:sz w:val="20"/>
                <w:szCs w:val="20"/>
                <w:color w:val="auto"/>
              </w:rPr>
            </w:pPr>
          </w:p>
        </w:tc>
      </w:tr>
      <w:tr>
        <w:trPr>
          <w:trHeight w:val="225"/>
        </w:trPr>
        <w:tc>
          <w:tcPr>
            <w:tcW w:w="5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2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51,859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57,541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186,055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153,831</w:t>
            </w:r>
          </w:p>
        </w:tc>
      </w:tr>
      <w:tr>
        <w:trPr>
          <w:trHeight w:val="229"/>
        </w:trPr>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Advertising expense included in sales and marketing expenses</w:t>
            </w:r>
          </w:p>
        </w:tc>
        <w:tc>
          <w:tcPr>
            <w:tcW w:w="32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49,087</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54,961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177,630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146,650</w:t>
            </w: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Year-over-year percentage change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20.9 %</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Advertising expense included in sales and marketing expenses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21.1 %</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 of net revenue</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17.0 %</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13.1 %</w:t>
            </w:r>
          </w:p>
        </w:tc>
      </w:tr>
      <w:tr>
        <w:trPr>
          <w:trHeight w:val="234"/>
        </w:trPr>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Advertising expense included in sales and marketing expenses</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15.8 %</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16.3 %</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12.5 %</w:t>
            </w:r>
          </w:p>
        </w:tc>
      </w:tr>
    </w:tbl>
    <w:p>
      <w:pPr>
        <w:spacing w:after="0" w:line="274"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The 130 basis point increase in sales and marketing expenses as a percent of net revenue for the three months ended September 30, 2024, as compared to the same period in 2023, was primarily due to increased performance marketing expense and brand advertising.</w:t>
      </w:r>
    </w:p>
    <w:p>
      <w:pPr>
        <w:spacing w:after="0" w:line="189"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The 390 basis point increase in sales and marketing expenses as a percent of net revenue for the nine months ended September 30, 2024, as compared to the same period in 2023, was primarily due to increased performance marketing expense and increased brand advertising.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Technology expenses</w:t>
      </w:r>
    </w:p>
    <w:p>
      <w:pPr>
        <w:spacing w:after="0" w:line="227" w:lineRule="exact"/>
        <w:rPr>
          <w:sz w:val="20"/>
          <w:szCs w:val="20"/>
          <w:color w:val="auto"/>
        </w:rPr>
      </w:pPr>
    </w:p>
    <w:p>
      <w:pPr>
        <w:ind w:firstLine="648"/>
        <w:spacing w:after="0" w:line="281" w:lineRule="auto"/>
        <w:rPr>
          <w:sz w:val="20"/>
          <w:szCs w:val="20"/>
          <w:color w:val="auto"/>
        </w:rPr>
      </w:pPr>
      <w:r>
        <w:rPr>
          <w:rFonts w:ascii="Times New Roman" w:cs="Times New Roman" w:eastAsia="Times New Roman" w:hAnsi="Times New Roman"/>
          <w:sz w:val="17"/>
          <w:szCs w:val="17"/>
          <w:color w:val="auto"/>
        </w:rPr>
        <w:t>We seek to deploy our capital resources efficiently in technology to support operations, including private and public cloud, web services, customer support solutions, and product search. We aim to enhance the customer experience by investing in technology, including investing in machine learning algorithms and generative AI, improving our process automation and efficiency, modernizing and expanding our systems, and supporting and expanding our logistics infrastructure. We expect to continue to incur technology expenses to support these efforts and these expenditures may continue to be material.</w:t>
      </w:r>
    </w:p>
    <w:p>
      <w:pPr>
        <w:spacing w:after="0" w:line="191"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frequency and variety of cyberattacks on our websites, enterprise systems, services, and on third parties we use to support our technology continues to increase. The impact of such attacks, their costs, and the costs we incur to protect ourselves against future attacks, have not been material to date. However, we consider the risk introduced by cyberattacks to be serious and will continue to incur costs related to efforts to protect ourselves against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technology expenses (in thousands):</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2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20" w:type="dxa"/>
            <w:vAlign w:val="bottom"/>
          </w:tcPr>
          <w:p>
            <w:pPr>
              <w:spacing w:after="0"/>
              <w:rPr>
                <w:sz w:val="17"/>
                <w:szCs w:val="17"/>
                <w:color w:val="auto"/>
              </w:rPr>
            </w:pPr>
          </w:p>
        </w:tc>
        <w:tc>
          <w:tcPr>
            <w:tcW w:w="2620" w:type="dxa"/>
            <w:vAlign w:val="bottom"/>
            <w:gridSpan w:val="4"/>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41"/>
        </w:trPr>
        <w:tc>
          <w:tcPr>
            <w:tcW w:w="5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00" w:type="dxa"/>
            <w:vAlign w:val="bottom"/>
            <w:tcBorders>
              <w:bottom w:val="single" w:sz="8" w:color="auto"/>
            </w:tcBorders>
          </w:tcPr>
          <w:p>
            <w:pPr>
              <w:spacing w:after="0"/>
              <w:rPr>
                <w:sz w:val="20"/>
                <w:szCs w:val="20"/>
                <w:color w:val="auto"/>
              </w:rPr>
            </w:pPr>
          </w:p>
        </w:tc>
      </w:tr>
      <w:tr>
        <w:trPr>
          <w:trHeight w:val="225"/>
        </w:trPr>
        <w:tc>
          <w:tcPr>
            <w:tcW w:w="5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2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expenses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27,673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29,240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84,596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87,492</w:t>
            </w:r>
          </w:p>
        </w:tc>
      </w:tr>
      <w:tr>
        <w:trPr>
          <w:trHeight w:val="22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Year-over-year percentage change</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Technology expenses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4"/>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expenses as a percent of net revenue</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7.4 %</w:t>
            </w:r>
          </w:p>
        </w:tc>
      </w:tr>
    </w:tbl>
    <w:p>
      <w:pPr>
        <w:spacing w:after="0" w:line="301"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$1.6 million decrease in technology expenses for the three months ended September 30, 2024, as compared to the same period in 2023, was primarily due to a reduction in staff-related expenses.</w:t>
      </w:r>
    </w:p>
    <w:p>
      <w:pPr>
        <w:spacing w:after="0" w:line="189"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$2.9 million decrease in technology expenses for the nine months ended September 30, 2024, as compared to the same period in 2023, was primarily due to a reduction in staff-related expenses.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general and administrative expenses (in thousands):</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0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20" w:type="dxa"/>
            <w:vAlign w:val="bottom"/>
          </w:tcPr>
          <w:p>
            <w:pPr>
              <w:spacing w:after="0"/>
              <w:rPr>
                <w:sz w:val="17"/>
                <w:szCs w:val="17"/>
                <w:color w:val="auto"/>
              </w:rPr>
            </w:pPr>
          </w:p>
        </w:tc>
        <w:tc>
          <w:tcPr>
            <w:tcW w:w="2620" w:type="dxa"/>
            <w:vAlign w:val="bottom"/>
            <w:gridSpan w:val="4"/>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41"/>
        </w:trPr>
        <w:tc>
          <w:tcPr>
            <w:tcW w:w="5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00" w:type="dxa"/>
            <w:vAlign w:val="bottom"/>
            <w:tcBorders>
              <w:bottom w:val="single" w:sz="8" w:color="auto"/>
            </w:tcBorders>
          </w:tcPr>
          <w:p>
            <w:pPr>
              <w:spacing w:after="0"/>
              <w:rPr>
                <w:sz w:val="20"/>
                <w:szCs w:val="20"/>
                <w:color w:val="auto"/>
              </w:rPr>
            </w:pPr>
          </w:p>
        </w:tc>
      </w:tr>
      <w:tr>
        <w:trPr>
          <w:trHeight w:val="225"/>
        </w:trPr>
        <w:tc>
          <w:tcPr>
            <w:tcW w:w="5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17,571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24,109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56,556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66,265</w:t>
            </w: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Year-over-year percentage change</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4"/>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 as a percent of net revenue</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5.6 %</w:t>
            </w:r>
          </w:p>
        </w:tc>
      </w:tr>
    </w:tbl>
    <w:p>
      <w:pPr>
        <w:spacing w:after="0" w:line="314"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$6.5 million decrease in general and administrative expenses for the three months ended September 30, 2024, as compared to the same period in 2023, was primarily due to a reduction in third-party and staff-related expenses.</w:t>
      </w:r>
    </w:p>
    <w:p>
      <w:pPr>
        <w:spacing w:after="0" w:line="18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$9.7 million decrease in general and administrative expenses for the nine months ended September 30, 2024, as compared to the same period in 2023, was primarily due to a reduction in staff-related and third-party expenses.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service and merchant fees</w:t>
      </w:r>
    </w:p>
    <w:p>
      <w:pPr>
        <w:spacing w:after="0" w:line="254"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In the first quarter of fiscal 2024, we changed our presentation for merchant fees associated with customer payments made by credit cards and other payment methods and customer service costs. Under the new presentation, we include such expenses in a separate line in operating expenses labeled, "Customer service and merchant fees," whereas previously, these expenses were included in Cost of goods sold. All periods presented have been adjusted to reflect this change in presentation. See Note 2—Summary of Significant Accounting Policies, in the Notes to Unaudited Consolidated Financial Statements included in Item 1, Part I, Financial Statements (Unaudited) of this Quarterly Report on Form 10-Q.</w:t>
      </w:r>
    </w:p>
    <w:p>
      <w:pPr>
        <w:spacing w:after="0" w:line="210"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Customer service and merchant fees include customer service costs and merchant processing fees associated with customer payments made by credit cards and other payment methods and other variable fees. Customer service and merchant fees as a percent of net revenue may vary due to several factors, such as our ability to effectively manage customer service costs and merchant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customer service and merchant fees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4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20" w:type="dxa"/>
            <w:vAlign w:val="bottom"/>
          </w:tcPr>
          <w:p>
            <w:pPr>
              <w:spacing w:after="0"/>
              <w:rPr>
                <w:sz w:val="17"/>
                <w:szCs w:val="17"/>
                <w:color w:val="auto"/>
              </w:rPr>
            </w:pPr>
          </w:p>
        </w:tc>
        <w:tc>
          <w:tcPr>
            <w:tcW w:w="2620" w:type="dxa"/>
            <w:vAlign w:val="bottom"/>
            <w:gridSpan w:val="4"/>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41"/>
        </w:trPr>
        <w:tc>
          <w:tcPr>
            <w:tcW w:w="5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00" w:type="dxa"/>
            <w:vAlign w:val="bottom"/>
            <w:tcBorders>
              <w:bottom w:val="single" w:sz="8" w:color="auto"/>
            </w:tcBorders>
          </w:tcPr>
          <w:p>
            <w:pPr>
              <w:spacing w:after="0"/>
              <w:rPr>
                <w:sz w:val="20"/>
                <w:szCs w:val="20"/>
                <w:color w:val="auto"/>
              </w:rPr>
            </w:pPr>
          </w:p>
        </w:tc>
      </w:tr>
      <w:tr>
        <w:trPr>
          <w:trHeight w:val="225"/>
        </w:trPr>
        <w:tc>
          <w:tcPr>
            <w:tcW w:w="5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service and merchant fees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12,425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12,943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41,374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38,111</w:t>
            </w: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Year-over-year percentage change</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Customer service and merchant fees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4"/>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service and merchant fees as a percent of net revenue</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r>
    </w:tbl>
    <w:p>
      <w:pPr>
        <w:spacing w:after="0" w:line="301"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$0.5 million decrease in customer service and merchant fees for the three months ended September 30, 2024, as compared to the same period in 2023, was primarily due to decreased order volume, partially offset by increased outsourced labor.</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$3.3 million increase in customer service and merchant fees for the nine months ended September 30, 2024, as compared to the same period in 2023 was primarily due to increased outsourced labor as a result of increased order volume and increased credit card costs driven by a shift in payment mix and increased order volume.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expense, net</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$19.9 million decrease in other expense, net for the three months ended September 30, 2024 as compared to the same period in 2023, was primarily due to a $21.9 million decrease in loss recognized from our equity method securities.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$91.4 million decrease in other expense, net for the nine months ended September 30, 2024 as compared to the same period in 2023, was primarily due to a $83.6 million decrease in loss recognized from our equity method securities and a $10.3 million gain on the sale of intangible assets related to the Wamsutta brand, which was acquired as part of our purchase of the Bed Bath &amp; Beyond brand in June 2023.</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56"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Our income tax provision for interim periods is determined using an estimate of our annual effective tax rate adjusted for discrete items, if any, for relevant interim periods. We update our estimate of the annual effective tax rate each quarter and make cumulative adjustments if our estimated annual effective tax rate changes.</w:t>
      </w:r>
    </w:p>
    <w:p>
      <w:pPr>
        <w:spacing w:after="0" w:line="203" w:lineRule="exact"/>
        <w:rPr>
          <w:sz w:val="20"/>
          <w:szCs w:val="20"/>
          <w:color w:val="auto"/>
        </w:rPr>
      </w:pPr>
    </w:p>
    <w:p>
      <w:pPr>
        <w:ind w:right="300" w:firstLine="648"/>
        <w:spacing w:after="0" w:line="256" w:lineRule="auto"/>
        <w:rPr>
          <w:sz w:val="20"/>
          <w:szCs w:val="20"/>
          <w:color w:val="auto"/>
        </w:rPr>
      </w:pPr>
      <w:r>
        <w:rPr>
          <w:rFonts w:ascii="Times New Roman" w:cs="Times New Roman" w:eastAsia="Times New Roman" w:hAnsi="Times New Roman"/>
          <w:sz w:val="18"/>
          <w:szCs w:val="18"/>
          <w:color w:val="auto"/>
        </w:rPr>
        <w:t>Our quarterly tax provision and our quarterly estimate of our annual effective tax rate are subject to significant variations due to several factors including: variability in predicting our pre-tax and taxable income, the mix of jurisdictions to which those items relate, relative changes in expenses or losses for which tax benefits are limited or not recognized, how we do business, fluctuations in our stock price, economic outlook, political climate, and other conditions such as supply chain challenges, inflation, rising interest rates, and geopolitical events. In addition, changes in laws, regulations, and administrative practices will impact our rate. Our effective tax rate can be volatile based on the amount of pre-tax income. For example, the impact of discrete items on our effective tax rate is greater when pre-tax income is lower.</w:t>
      </w:r>
    </w:p>
    <w:p>
      <w:pPr>
        <w:spacing w:after="0" w:line="214"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Our provision (benefit) for income tax for the three months ended September 30, 2024 and 2023 was $189,000 and $(13.4) million, respectively. The effective tax rate for the three months ended September 30, 2024 and 2023 was (0.3)% and 17.5%, respectively. Our provision (benefit) for income tax for the nine months ended September 30, 2024 and 2023 was $635,000 and $(24.7) million, respectively. The effective tax rate for the nine months ended September 30, 2024 and 2023 was (0.4)% and 14.4%, respectively. Our tax provision and rate changed during the three and nine months ended September 30, 2024 as compared to the same period in 2023, and differs from the statutory federal income tax rate of 21% primarily due to year-to-date losses on our retail operations for which tax benefits are limited.</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quarter we assess on a jurisdictional basis whether it is more likely than not that our deferred tax assets will be realized under ASC Topic</w:t>
      </w:r>
    </w:p>
    <w:p>
      <w:pPr>
        <w:spacing w:after="0" w:line="27" w:lineRule="exact"/>
        <w:rPr>
          <w:sz w:val="20"/>
          <w:szCs w:val="20"/>
          <w:color w:val="auto"/>
        </w:rPr>
      </w:pPr>
    </w:p>
    <w:p>
      <w:pPr>
        <w:ind w:firstLine="8"/>
        <w:spacing w:after="0" w:line="253" w:lineRule="auto"/>
        <w:tabs>
          <w:tab w:leader="none" w:pos="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carryback ability, and therefore we must rely on future taxable income, including tax planning strategies and future reversals of taxable temporary differences, to recover our deferred tax assets. We assess available positive and negative evidence to estimate whether we will generate sufficient future taxable income to use our existing deferred tax assets. A significant piece of objective negative evidence evaluated as of September 30, 2024, is the cumulative loss position over a three-year period generated by our U.S. retail operations. On the basis of this evaluation, we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maintain a valuation allowance against our deferred tax assets for the U.S. jurisdiction, not supported by reversals of taxable temporary differences. We intend to continue maintaining a valuation allowance on our net U.S. deferred tax assets until there is sufficient evidence to support the reversal of all or some portion of these allowances. The amount of the deferred tax asset considered realizable could be adjusted if objective negative evidence in the form of cumulative losses is no longer present and additional weight is given to subjective evidence such as our projections for growth. We will continue to monitor the need for a valuation allowance against our deferred tax assets on a quarterly basis.</w:t>
      </w:r>
    </w:p>
    <w:p>
      <w:pPr>
        <w:spacing w:after="0" w:line="210"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The OECD has issued Pillar Two model rules introducing a new global minimum tax of 15% intended to be effective on January 1, 2024. While the U.S. has not yet adopted the Pillar Two rules, various other governments around the world have enacted such legislation. As currently designed, we expect Pillar Two will ultimately apply to us. Considering we do not currently have material operations in jurisdictions with tax rates lower than the Pillar Two minimum, we do not expect these to materially increase our global tax costs based on how we currently do business. There remains uncertainty as to the final Pillar Two model rules and their application. We will continue to monitor U.S. and global legislative action related to Pillar Two for potential impacts.</w:t>
      </w:r>
    </w:p>
    <w:p>
      <w:pPr>
        <w:spacing w:after="0" w:line="214"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As we repatriate foreign earnings for use in the United States, the distributions are generally exempt from federal and foreign income taxes but may be subject to certain state taxes. As of September 30, 2024, the cumulative amount of foreign earnings considered permanently reinvested upon which taxes have not been provided, and the corresponding unrecognized deferred tax liability, was not material.</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subject to taxation in the United States and multiple state and foreign jurisdictions. Tax years beginning in 2019 are subject to examination by taxing authorities, although net operating loss and credit carryforwards from all years are subject to examinations and adjustments for at least three years following the year in which the attributes are used.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254"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believe that our cash and cash equivalents currently on hand and expected cash flows from future operations will be sufficient to continue operations for at least the next twelve months. We continue to monitor, evaluate, and manage our operating plans, forecasts, and liquidity considering the most recent developments driven by macroeconomic conditions, such as supply chain challenges, inflation, rising interest rates, and geopolitical events. We proactively seek opportunities to improve the efficiency of our operations and have in the past and may in the future take steps to realize internal cost savings, including aligning our staffing needs, creating a more variable cost structure to better support our current and expected future levels of operations and process streamlining.</w:t>
      </w:r>
    </w:p>
    <w:p>
      <w:pPr>
        <w:spacing w:after="0" w:line="214"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periodically evaluate opportunities to repurchase our equity securities, obtain credit facilities, or issue additional debt or equity securities, which may impact our future operations and liquidity. In addition, we may, from time to time, consider the investment in, or acquisition of, complementary businesses, products, services, or technologies to expand our business, any of which might affect our liquidity requirements or cause us to issue additional debt or equity securities that would be dilutive to shareholders.</w:t>
      </w:r>
    </w:p>
    <w:p>
      <w:pPr>
        <w:spacing w:after="0" w:line="207" w:lineRule="exact"/>
        <w:rPr>
          <w:sz w:val="20"/>
          <w:szCs w:val="20"/>
          <w:color w:val="auto"/>
        </w:rPr>
      </w:pPr>
    </w:p>
    <w:p>
      <w:pPr>
        <w:ind w:right="40" w:firstLine="648"/>
        <w:spacing w:after="0" w:line="281" w:lineRule="auto"/>
        <w:rPr>
          <w:sz w:val="20"/>
          <w:szCs w:val="20"/>
          <w:color w:val="auto"/>
        </w:rPr>
      </w:pPr>
      <w:r>
        <w:rPr>
          <w:rFonts w:ascii="Times New Roman" w:cs="Times New Roman" w:eastAsia="Times New Roman" w:hAnsi="Times New Roman"/>
          <w:sz w:val="17"/>
          <w:szCs w:val="17"/>
          <w:color w:val="auto"/>
        </w:rPr>
        <w:t>Our future capital requirements will depend on many factors, including, but not limited to, our growth, our ability to execute on our business strategy, our ability to realize the benefits of any investment in new business strategies, acquisitions, or other transactions, and consumer sentiment towards our offerings. In the event that additional liquidity is required from outside sources, we may not be able to raise the capital on terms acceptable to us or at all. If we are unable to raise additional capital when desired, our business, financial condition, and results of operations could be adversely affected.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sources of liquidity</w:t>
      </w:r>
    </w:p>
    <w:p>
      <w:pPr>
        <w:spacing w:after="0" w:line="227"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Our principal sources of liquidity are existing cash and cash equivalents and accounts receivable, net. At September 30, 2024, we had $140.4 million of cash and cash equivalents and $15.0 million of accounts receivable,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entered into a Sales Agreement dated June 10, 2024 with JonesTrading, under which we may conduct "at the market" public offerings of our common stock. Under the Sales Agreement, JonesTrading, acting as our sales agent or principal, may offer our common stock in the market on a daily basis or otherwise as we request from time to time. At September 30, 2024, we had $200.0 million available under our "at the market" sales program.</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flow information is as follows (in thousands):</w:t>
      </w:r>
    </w:p>
    <w:p>
      <w:pPr>
        <w:spacing w:after="0" w:line="133" w:lineRule="exact"/>
        <w:rPr>
          <w:sz w:val="20"/>
          <w:szCs w:val="20"/>
          <w:color w:val="auto"/>
        </w:rPr>
      </w:pPr>
    </w:p>
    <w:p>
      <w:pPr>
        <w:jc w:val="center"/>
        <w:ind w:left="806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jc w:val="center"/>
        <w:ind w:left="806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08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(used in) provided by:</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8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(152,625)</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9,131</w:t>
            </w:r>
          </w:p>
        </w:tc>
      </w:tr>
      <w:tr>
        <w:trPr>
          <w:trHeight w:val="230"/>
        </w:trPr>
        <w:tc>
          <w:tcPr>
            <w:tcW w:w="8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(51,759)</w:t>
            </w:r>
          </w:p>
        </w:tc>
      </w:tr>
      <w:tr>
        <w:trPr>
          <w:trHeight w:val="234"/>
        </w:trPr>
        <w:tc>
          <w:tcPr>
            <w:tcW w:w="8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(3,356)</w:t>
            </w:r>
          </w:p>
        </w:tc>
      </w:tr>
    </w:tbl>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Cash received from customers generally corresponds to our net revenues as our customers primarily use credit cards to buy from us, causing our receivables from these sales transactions to settle quickly. We have payment terms with our partners that generally extend beyond the amount of time necessary to collect proceeds from our customers.</w:t>
      </w:r>
    </w:p>
    <w:p>
      <w:pPr>
        <w:spacing w:after="0" w:line="203"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The $152.6 million of net cash used in operating activities during the nine months ended September 30, 2024 was primarily due to loss from operating activities adjusted for non-cash items of $111.7 million and cash used by changes in operating assets and liabilities of $41.0 million.</w:t>
      </w:r>
    </w:p>
    <w:p>
      <w:pPr>
        <w:spacing w:after="0" w:line="18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$9.1 million of net cash provided by operating activities during the nine months ended September 30, 2023 was primarily due to loss from operating activities adjusted for non-cash items of $8.9 million offset by cash provided by changes in operating assets and liabilities of $18.0 million.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2024, investing activities resulted in a net cash outflow of $6.5 million, primarily due to $11.3 million of expenditures for property and equipment and $6.0 million for purchases of intangible assets, offset by $10.3 million of proceeds received from the sale of intangible assets.</w:t>
      </w:r>
    </w:p>
    <w:p>
      <w:pPr>
        <w:spacing w:after="0" w:line="203"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2023, investing activities resulted in a net cash outflow of $51.8 million, primarily due to $25.8 million for purchases of intangible assets, $10.0 million for disbursement of notes receivable and $16.5 million of expenditures for property and equipment.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5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2024, financing activities resulted in a net cash outflow of $2.1 million, primarily due to $3.3 million for payment of taxes withheld upon vesting of employee stock awards.</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2023, financing activities resulted in a net cash outflow of $3.4 million, primarily due to $2.6 million for payment of taxes withheld upon vesting of employee stock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contractual obligations as of September 30, 2024 and the effect such obligations and commitments are expected to have on our liquidity and cash flow in future periods (in thousands):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Contractual Obligations</w:t>
            </w:r>
          </w:p>
        </w:tc>
        <w:tc>
          <w:tcPr>
            <w:tcW w:w="280" w:type="dxa"/>
            <w:vAlign w:val="bottom"/>
          </w:tcPr>
          <w:p>
            <w:pPr>
              <w:spacing w:after="0"/>
              <w:rPr>
                <w:sz w:val="17"/>
                <w:szCs w:val="17"/>
                <w:color w:val="auto"/>
              </w:rPr>
            </w:pPr>
          </w:p>
        </w:tc>
        <w:tc>
          <w:tcPr>
            <w:tcW w:w="11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Pr>
          <w:p>
            <w:pPr>
              <w:spacing w:after="0"/>
              <w:rPr>
                <w:sz w:val="17"/>
                <w:szCs w:val="17"/>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Less than</w:t>
            </w:r>
          </w:p>
        </w:tc>
        <w:tc>
          <w:tcPr>
            <w:tcW w:w="280" w:type="dxa"/>
            <w:vAlign w:val="bottom"/>
          </w:tcPr>
          <w:p>
            <w:pPr>
              <w:spacing w:after="0"/>
              <w:rPr>
                <w:sz w:val="17"/>
                <w:szCs w:val="17"/>
                <w:color w:val="auto"/>
              </w:rPr>
            </w:pPr>
          </w:p>
        </w:tc>
        <w:tc>
          <w:tcPr>
            <w:tcW w:w="10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1-3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3-5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More than 5</w:t>
            </w:r>
          </w:p>
        </w:tc>
        <w:tc>
          <w:tcPr>
            <w:tcW w:w="0" w:type="dxa"/>
            <w:vAlign w:val="bottom"/>
          </w:tcPr>
          <w:p>
            <w:pPr>
              <w:spacing w:after="0"/>
              <w:rPr>
                <w:sz w:val="1"/>
                <w:szCs w:val="1"/>
                <w:color w:val="auto"/>
              </w:rPr>
            </w:pPr>
          </w:p>
        </w:tc>
      </w:tr>
      <w:tr>
        <w:trPr>
          <w:trHeight w:val="243"/>
        </w:trPr>
        <w:tc>
          <w:tcPr>
            <w:tcW w:w="426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280" w:type="dxa"/>
            <w:vAlign w:val="bottom"/>
          </w:tcPr>
          <w:p>
            <w:pPr>
              <w:spacing w:after="0"/>
              <w:rPr>
                <w:sz w:val="21"/>
                <w:szCs w:val="21"/>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280" w:type="dxa"/>
            <w:vAlign w:val="bottom"/>
          </w:tcPr>
          <w:p>
            <w:pPr>
              <w:spacing w:after="0"/>
              <w:rPr>
                <w:sz w:val="21"/>
                <w:szCs w:val="21"/>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40" w:type="dxa"/>
            <w:vAlign w:val="bottom"/>
          </w:tcPr>
          <w:p>
            <w:pPr>
              <w:spacing w:after="0"/>
              <w:rPr>
                <w:sz w:val="21"/>
                <w:szCs w:val="21"/>
                <w:color w:val="auto"/>
              </w:rPr>
            </w:pPr>
          </w:p>
        </w:tc>
        <w:tc>
          <w:tcPr>
            <w:tcW w:w="11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0" w:type="dxa"/>
            <w:vAlign w:val="bottom"/>
          </w:tcPr>
          <w:p>
            <w:pPr>
              <w:spacing w:after="0"/>
              <w:rPr>
                <w:sz w:val="1"/>
                <w:szCs w:val="1"/>
                <w:color w:val="auto"/>
              </w:rPr>
            </w:pPr>
          </w:p>
        </w:tc>
      </w:tr>
      <w:tr>
        <w:trPr>
          <w:trHeight w:val="223"/>
        </w:trPr>
        <w:tc>
          <w:tcPr>
            <w:tcW w:w="4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 (1)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Loan agreements (2)</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42,660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35,236</w:t>
            </w:r>
          </w:p>
        </w:tc>
        <w:tc>
          <w:tcPr>
            <w:tcW w:w="0" w:type="dxa"/>
            <w:vAlign w:val="bottom"/>
          </w:tcPr>
          <w:p>
            <w:pPr>
              <w:spacing w:after="0"/>
              <w:rPr>
                <w:sz w:val="1"/>
                <w:szCs w:val="1"/>
                <w:color w:val="auto"/>
              </w:rPr>
            </w:pPr>
          </w:p>
        </w:tc>
      </w:tr>
      <w:tr>
        <w:trPr>
          <w:trHeight w:val="248"/>
        </w:trPr>
        <w:tc>
          <w:tcPr>
            <w:tcW w:w="4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contractual cash obligations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35,236</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__________________________________________</w:t>
      </w:r>
    </w:p>
    <w:p>
      <w:pPr>
        <w:spacing w:after="0" w:line="117" w:lineRule="exact"/>
        <w:rPr>
          <w:sz w:val="20"/>
          <w:szCs w:val="20"/>
          <w:color w:val="auto"/>
        </w:rPr>
      </w:pPr>
    </w:p>
    <w:p>
      <w:pPr>
        <w:ind w:left="980" w:right="20" w:hanging="324"/>
        <w:spacing w:after="0" w:line="257" w:lineRule="auto"/>
        <w:tabs>
          <w:tab w:leader="none" w:pos="104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future minimum lease payments under non-cancellable operating leases. For information regarding our operating lease obligations, see Note 9—Leases, in the Notes to Unaudited Consolidated Financial Statements included in Item 1, Part I, Financial Statements (Unaudited) of this Quarterly Report on Form 10-Q.</w:t>
      </w:r>
    </w:p>
    <w:p>
      <w:pPr>
        <w:spacing w:after="0" w:line="1" w:lineRule="exact"/>
        <w:rPr>
          <w:rFonts w:ascii="Times New Roman" w:cs="Times New Roman" w:eastAsia="Times New Roman" w:hAnsi="Times New Roman"/>
          <w:sz w:val="18"/>
          <w:szCs w:val="18"/>
          <w:color w:val="auto"/>
        </w:rPr>
      </w:pPr>
    </w:p>
    <w:p>
      <w:pPr>
        <w:ind w:left="980" w:right="540" w:hanging="324"/>
        <w:spacing w:after="0" w:line="255" w:lineRule="auto"/>
        <w:tabs>
          <w:tab w:leader="none" w:pos="104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future interest and principal payments on the financing agreements with Loan Core Capital Funding Corporation LLC. For information regarding our financing agreements, see Note 8—Borrowings, in the Notes to Unaudited Consolidated Financial Statements included in Item 1, Part I, Financial Statements (Unaudited) of this Quarterly Report on Form 10-Q.</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contingencies</w:t>
      </w:r>
    </w:p>
    <w:p>
      <w:pPr>
        <w:spacing w:after="0" w:line="256"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We are involved in various tax matters, the outcomes of which are uncertain. As of September 30, 2024, accrued tax contingencies were $3.8 million. Changes in federal, foreign, state, and local tax laws may increase our tax contingencies. The timing of the resolution of income tax contingencies is highly uncertain, and the amounts ultimately paid, if any, upon resolution of issues raised by the taxing authorities may differ from the amounts accrued. It is reasonably possible that within the next 12 months we will receive additional assessments by various tax authorities. These assessments may or may not result in changes to our contingencies related to positions on prior years' tax filings.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The preparation of our financial statements requires that we make estimates and judgments. We base these on historical experience and on other assumptions that we believe to be reasonable. Except as disclosed in Note 2—Summary of Significant Accounting Policies, in the Notes to Unaudited Consolidated Financial Statements included in Item 1, Part I, Financial Statements (Unaudited) of this Quarterly Report on Form 10-Q, there have been no material changes to our critical accounting policies and estimates as compared to the critical accounting policies and estimates described in Critical Accounting Policies and Estimates, included in Part II, Item 7, Management's Discussion and Analysis of Financial Condition and Results of Operations and in Note 2—Accounting Policies and Supplemental Disclosures, included in Part II, Item 8, Financial Statements and Supplementary Data, of our Annual Report on Form 10-K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exposed to market risk from interest rate changes, foreign currency fluctuations, and changes in the market values of our securities.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relating to quantitative and qualitative disclosures about these market risks is set forth below.</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Sensitivity</w:t>
      </w:r>
    </w:p>
    <w:p>
      <w:pPr>
        <w:spacing w:after="0" w:line="256" w:lineRule="exact"/>
        <w:rPr>
          <w:sz w:val="20"/>
          <w:szCs w:val="20"/>
          <w:color w:val="auto"/>
        </w:rPr>
      </w:pPr>
    </w:p>
    <w:p>
      <w:pPr>
        <w:ind w:right="320" w:firstLine="648"/>
        <w:spacing w:after="0" w:line="312" w:lineRule="auto"/>
        <w:rPr>
          <w:sz w:val="20"/>
          <w:szCs w:val="20"/>
          <w:color w:val="auto"/>
        </w:rPr>
      </w:pPr>
      <w:r>
        <w:rPr>
          <w:rFonts w:ascii="Times New Roman" w:cs="Times New Roman" w:eastAsia="Times New Roman" w:hAnsi="Times New Roman"/>
          <w:sz w:val="17"/>
          <w:szCs w:val="17"/>
          <w:color w:val="auto"/>
        </w:rPr>
        <w:t>The fair value of our cash and cash equivalents (highly liquid instruments with a remaining maturity of 90 days or less at the date of purchase) would not be significantly affected by either an increase or decrease in interest rates due mainly to the short-term nature of these instruments.</w:t>
      </w:r>
    </w:p>
    <w:p>
      <w:pPr>
        <w:spacing w:after="0" w:line="167"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Our Senior Note carries a fixed annual interest rate of 4.242%. As a result, we have no material direct financial statement risk associated with changes in interest rates.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256"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Most of our sales and operating expenses are denominated in U.S. dollars, and therefore, our net revenue and operating expenses are not currently subject to significant foreign currency risk. As we grow our operations, our exposure to foreign currency risk could become more significant.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5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Increases in commodity and shipping prices and energy and labor costs have resulted in inflationary pressures across various parts of our business and operations, including our partners and supply chain. We continue to monitor the impact of inflation to minimize its effects on our customers. We work with our partners to limit the amount of cost increases that are passed on through higher pricing. If costs borne by the Company or our partners were to be subject to incremental inflationary pressures, we may not be able to fully offset such higher costs through pricing actions or other cost efficiency measures. Our inability or failure to do so could harm our business, financial condition, and results of operations. While it is difficult to accurately measure the impact of inflation due to the imprecise nature of the estimates required, we believe the effects of inflation, if any, on our historical results of operations and financial condition have been immaterial. We cannot assure you, however, that our results of operations and financial condition will not be materially impacted by inflation in the future.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Risk</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fair values of our equity and debt securities may be subject to fluctuations due to volatility of the stock market in general, investment-specific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circumstances, and changes in general economic conditions. At September 30, 2024, our recorded value in equity securities of private companies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$112.5 million. At September 30, 2024, $21.5 million of our equity securities and $10.9 million of our debt securities are of private companies, recorded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 using Level 3 inputs. Our fair value assessment of private companies includes a review of recent operating results and trends, recent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sales/acquisitions of the securities, and other publicly available data. Valuations of private companies are inherently more complex due to the lack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readily available market data. As such, we believe that providing a sensitivity analysis is not practicable. These investments valued using Level 3 inputs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 41.1% of assets measured at fair value. See Note 3—Fair Value Measurement for further information. For our equity interest in Medici Ventures,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L.P., we record our proportionate share of the entity's reported net income or loss, which reflects the fair value changes of the underlying investments of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entity and any other income or losses of the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4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carried out an evaluation of the effectiveness of our disclosure controls and procedures as required by Rule 13a-15(e) and 15d-15(e) of the Securities Exchange Act of 1934, as amended (the "Exchange Act") under the supervision and with the participation of our principal executive officer and principal financial officer, as of the end of the period covered by this report. Based on this evaluation, our principal executive officer and principal financial officer concluded that our disclosure controls and procedures were effective at the reasonable assurance level.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Disclosure Controls and Procedures</w:t>
      </w:r>
    </w:p>
    <w:p>
      <w:pPr>
        <w:spacing w:after="0" w:line="229" w:lineRule="exact"/>
        <w:rPr>
          <w:sz w:val="20"/>
          <w:szCs w:val="20"/>
          <w:color w:val="auto"/>
        </w:rPr>
      </w:pPr>
    </w:p>
    <w:p>
      <w:pPr>
        <w:jc w:val="both"/>
        <w:ind w:right="60" w:firstLine="648"/>
        <w:spacing w:after="0" w:line="256"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Management does not expect, however, that our disclosure controls and procedures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quarter ended September 30, 2024,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From time to time, we are involved in, or become subject to litigation or other legal proceedings concerning consumer protection, employment, privacy, intellectual property, claims under the securities laws, and other commercial matters related to the conduct and operation of our business and the sale of products on our websites. We also prosecute lawsuits to enforce our legal rights. In connection with such litigation or other legal proceedings, we have been in the past and we may be in the future subject to significant damages, associated costs, or equitable remedies relating to the operation of our business. Such litigation could be costly and time consuming and could divert or distract our management and key personnel from our business operations. Due to the uncertainty of litigation and depending on the amount and the timing, an unfavorable resolution of some or all of such matters could materially affect our business, results of operations, financial position, or cash flows. For additional details, see the information set forth under Item I of Part I, Financial Statements (Unaudited)—Note 10—Commitments and Contingencies, subheading Legal Proceedings and Contingencies, contained in the Notes to Unaudited Consolidated Financial Statements of this Quarterly Report on Form 10-Q, which is incorporated by reference in answer to this Item.</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4" w:lineRule="exact"/>
        <w:rPr>
          <w:sz w:val="20"/>
          <w:szCs w:val="20"/>
          <w:color w:val="auto"/>
        </w:rPr>
      </w:pPr>
    </w:p>
    <w:p>
      <w:pPr>
        <w:ind w:right="40" w:firstLine="648"/>
        <w:spacing w:after="0" w:line="272" w:lineRule="auto"/>
        <w:rPr>
          <w:sz w:val="20"/>
          <w:szCs w:val="20"/>
          <w:color w:val="auto"/>
        </w:rPr>
      </w:pPr>
      <w:r>
        <w:rPr>
          <w:rFonts w:ascii="Times New Roman" w:cs="Times New Roman" w:eastAsia="Times New Roman" w:hAnsi="Times New Roman"/>
          <w:sz w:val="17"/>
          <w:szCs w:val="17"/>
          <w:i w:val="1"/>
          <w:iCs w:val="1"/>
          <w:color w:val="auto"/>
        </w:rPr>
        <w:t>Any investment in our securities involves a high degree of risk. Please consider the following risk factors and the risk factors previously disclosed in Part 1, Item 1A, "Risk Factors," of our Annual Report on Form 10-K for the year ended December 31, 2023 carefully. If any one or more of such risks were to occur, it could have a material adverse effect on our business, prospects, financial condition and results of operations, and the market price of our securities could decrease significantly. Statements to the effect that an event could or would harm our business (or have an adverse effect on our business or similar statements) mean that the event could or would have a material adverse effect on our business, prospects, financial condition and results of operations, which in turn could or would have a material adverse effect on the market price of our securities. Many of the risks we face involve more than one type of risk. Consequently, you should carefully read all of the risk factors below, the risk factors described in our Form 10-K for the year ended December 31, 2023, and in any reports we file with the SEC after we file this Form 10-Q, before making any decision to acquire or hold our securities.</w:t>
      </w:r>
    </w:p>
    <w:p>
      <w:pPr>
        <w:spacing w:after="0" w:line="201"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Other than the risk factors set forth below, there are no material changes from the risk factors previously disclosed in Part I, Item 1A, "Risk Factors," of our Annual Report on Form 10-K for the year ended December 31,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depends on the Internet, our infrastructure and transaction-processing systems.</w:t>
      </w:r>
    </w:p>
    <w:p>
      <w:pPr>
        <w:spacing w:after="0" w:line="256"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We are completely dependent on our infrastructure and on the availability, reliability and security of the Internet and related systems. Although we have migrated and continue to migrate some of our computer systems and operations to the public cloud, a substantial majority of our computer and communications infrastructure is running in our private cloud on hardware that is located at a single Beyond owned and operated facility, which we have agreed to sell pursuant to an agreement that is scheduled to close on or before November 30, 2024. As part of the agreement, we have agreed with the purchaser to negotiate a lease agreement that would allow us to continue to occupy and use the data center. Our systems and operations are vulnerable to damage or interruption from fire, flood, power loss, telecommunications failure, terrorist attacks, cyberattacks, acts of war, break-ins, earthquake and similar events. Our back-up facility by itself is not adequate to support fulfillment of sales orders. Our servers and applications are vulnerable to malware, physical or electronic break-ins, internal sabotage, and other disruptions, the occurrence of any of which could lead to interruptions, delays, loss of critical data or the inability to accept and fulfill customer orders. Any internal or critical third-party system interruption that results in the unavailability of our websites or our mobile app or reduced performance of our transaction systems could interrupt or substantially reduce our ability to conduct our business. We have experienced periodic systems interruptions due to server failure, application failure, power failure and intentional cyberattacks in the past, and may experience additional interruptions or failures in the future. Any failure or impairment of our infrastructure or of the availability of the Internet or related systems caused by any source, including the transfer of our hardware to another location or the housing or maintenance of our hardware by a third party (including the purchaser of the facility where it is now located), could have a material adverse effect on our financial results, business and prospects. In addition, the occurrence of any event that would adversely affect ecommerce or discourage or prevent consumers from shopping online or via mobile apps could significantly decrease the volume of our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an evolving business model, which increases the complexity of our business.</w:t>
      </w:r>
    </w:p>
    <w:p>
      <w:pPr>
        <w:spacing w:after="0" w:line="256" w:lineRule="exact"/>
        <w:rPr>
          <w:sz w:val="20"/>
          <w:szCs w:val="20"/>
          <w:color w:val="auto"/>
        </w:rPr>
      </w:pPr>
    </w:p>
    <w:p>
      <w:pPr>
        <w:ind w:right="140" w:firstLine="648"/>
        <w:spacing w:after="0" w:line="269" w:lineRule="auto"/>
        <w:rPr>
          <w:sz w:val="20"/>
          <w:szCs w:val="20"/>
          <w:color w:val="auto"/>
        </w:rPr>
      </w:pPr>
      <w:r>
        <w:rPr>
          <w:rFonts w:ascii="Times New Roman" w:cs="Times New Roman" w:eastAsia="Times New Roman" w:hAnsi="Times New Roman"/>
          <w:sz w:val="17"/>
          <w:szCs w:val="17"/>
          <w:color w:val="auto"/>
        </w:rPr>
        <w:t>We are modifying and expanding the types of products and services offered for sale on our websites, may further expand offerings in the future, and we do not know whether any of our modifications or expansions will be successful. From time to time, we have also modified aspects of our business model relating to our product mix and the mix of direct versus partner sourcing of the products offered for sale. Products purchased for direct sale come with additional risks and uncertainties, including costs to maintain inventory, risk of loss from theft or otherwise, and risks associated with the marketing and labeling of products. In addition, we continue to experiment with new technologies to enhance the customer experience and iterate on delivery of new features. The additions and modifications to our business have increased the complexity of our business and impacted, and may in the future materially impact, our management, personnel, operations, systems, technical performance, financial resources, and internal control and reporting functions. Further, our efforts to right-size our cost structure and create a more flexible technology stack may result in the introduction of technologies that are less mature or stable, which could cause problems in our website or back-end logistics systems or compliance efforts. Further, any new business, products or services, technology, or website we launch that is not favorably received by consumers could damage our reputation or our brand. The occurrence of any of the foregoing could have a material adverse effect on our financial results, business, prospects, and the trading prices of our securities.</w:t>
      </w:r>
    </w:p>
    <w:p>
      <w:pPr>
        <w:spacing w:after="0" w:line="20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Investment in new business strategies, acquisitions, or other transactions could disrupt our ongoing business, present risks not originally contemplated and materially adversely affect our business, reputation, results of operations and financial condition.</w:t>
      </w:r>
    </w:p>
    <w:p>
      <w:pPr>
        <w:spacing w:after="0" w:line="186"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have invested, and in the future may invest, in new business strategies, acquisitions, or other transactions. We intend for these initiatives to drive efficiencies and improve margins. Such endeavors may involve significant risks and uncertainties, including distraction of management from current operations, greater-than-expected liabilities and expenses, new claims or litigation, economic, political, legal and regulatory challenges associated with operating in new businesses, regions or countries, inadequate return on capital, potential impairment of tangible and intangible assets, and significant write-offs. Investment and acquisition transactions are exposed to additional risks, including the imposition of onerous conditions that could delay or prevent us from completing a transaction or otherwise limit our ability to fully realize the anticipated benefits of a transaction. In addition, any new investments or acquisitions may require us to raise additional capital, including debt or equity securities. These transactions may impose additional restrictions on our ability to operate and/or may be dilutive to you. In the event that additional liquidity is required from outside sources, we may not be able to raise the capital on terms acceptable to us or at all. If we are unable to raise additional capital when desired, our business, financial condition, and results of operations could be adversely affected.</w:t>
      </w:r>
    </w:p>
    <w:p>
      <w:pPr>
        <w:spacing w:after="0" w:line="221"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These new ventures are inherently risky and may not be successful. If we do not successfully manage and execute these initiatives, or if they are inadequate or ineffective, we may fail to meet our financial goals and achieve anticipated benefits, improvements may be delayed, not sustained or not realized, and our business, operations and competitive position could be adversely affected.</w:t>
      </w:r>
    </w:p>
    <w:p>
      <w:pPr>
        <w:spacing w:after="0" w:line="199"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changing job market, the changes in our leadership team, the change in our compensation approach, the loss of key personnel, the changing job structure, or any inability to attract, retain and engage key personnel could affect our ability to successfully grow our business.</w:t>
      </w:r>
    </w:p>
    <w:p>
      <w:pPr>
        <w:spacing w:after="0" w:line="18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performance is substantially dependent on the continued service and performance of our senior management, our board of directors, and other key personnel. In 2024, we underwent significant changes to our executive management team and board of directors, structural changes to our organization, and changes to our workforce with reductions in force. Additionally, in 2023, we adjusted our approach to equity compensation provided to our executives from a time-based approach to a performance-based approach. Uncertainties, including any substantial changes in leadership, our organization, our workforce, or any negative impacts associated with performance-based compensation, may cause employees to seek other opportunities or impair our ability to recruit new employees. With more businesses allowing employees to work remotely, we are forced to compete with businesses in other locations and states to attract and retain key employees. Currently, most of our local workforce works a hybrid schedule, where they work onsite three days each week and perform the remaining workdays in that week remotely. We have entered into an agreement to sell our corporate headquarters which is scheduled to close on or before November 30, 2024, which if completed, could impact our hybrid schedule. The changes in leadership, structural changes to our organization, reductions in force, changed approach to performance-based compensation, and uncertainty of the future job structure could create consequences such as a lack of productivity, a lack of engagement, employee dissatisfaction, and employee fatigue and could result in key employees finding other employers more attractive than working for our Company.</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loss of, or the inability to retain or engage the services of key employees for any reason, could harm our business. Our future success depends on our ability to identify, attract, hire, train, engage, retain, and motivate highly-skilled personnel. Our failure to attract, retain, and engage the personnel necessary to successfully operate our business could have a material adverse effect on our financial results, business and prospects.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Purchases of Equity Securities</w:t>
      </w:r>
    </w:p>
    <w:p>
      <w:pPr>
        <w:spacing w:after="0" w:line="256"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8"/>
          <w:szCs w:val="18"/>
          <w:color w:val="auto"/>
        </w:rPr>
        <w:t>See Note 12—Stockholders' Equity, in the Notes to Unaudited Consolidated Financial Statements included in Item 1, Part I, Financial Statements (Unaudited) of this Quarterly Report on Form 10-Q for information regarding our authorized share repurchase program. There were no repurchases made during the three months ended September 30, 2024. As of September 30, 2024, the approximate dollar value of shares that may yet be purchased under the stock repurchase program is $69.9 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7" w:lineRule="exact"/>
        <w:rPr>
          <w:sz w:val="20"/>
          <w:szCs w:val="20"/>
          <w:color w:val="auto"/>
        </w:rPr>
      </w:pPr>
    </w:p>
    <w:p>
      <w:pPr>
        <w:ind w:left="660" w:right="6220" w:hanging="652"/>
        <w:spacing w:after="0" w:line="532" w:lineRule="auto"/>
        <w:tabs>
          <w:tab w:leader="none" w:pos="267"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Disclosure in lieu of reporting on a Current Report on Form 8-K. </w:t>
      </w:r>
      <w:r>
        <w:rPr>
          <w:rFonts w:ascii="Times New Roman" w:cs="Times New Roman" w:eastAsia="Times New Roman" w:hAnsi="Times New Roman"/>
          <w:sz w:val="18"/>
          <w:szCs w:val="18"/>
          <w:color w:val="auto"/>
        </w:rPr>
        <w:t>None.</w:t>
      </w:r>
    </w:p>
    <w:p>
      <w:pPr>
        <w:ind w:left="660" w:right="2760" w:hanging="652"/>
        <w:spacing w:after="0" w:line="532" w:lineRule="auto"/>
        <w:tabs>
          <w:tab w:leader="none" w:pos="267"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Material changes to the procedures by which security holders may recommend nominees to the board of directors </w:t>
      </w:r>
      <w:r>
        <w:rPr>
          <w:rFonts w:ascii="Times New Roman" w:cs="Times New Roman" w:eastAsia="Times New Roman" w:hAnsi="Times New Roman"/>
          <w:sz w:val="18"/>
          <w:szCs w:val="18"/>
          <w:color w:val="auto"/>
        </w:rPr>
        <w:t>None.</w:t>
      </w:r>
    </w:p>
    <w:p>
      <w:pPr>
        <w:ind w:left="260" w:hanging="252"/>
        <w:spacing w:after="0"/>
        <w:tabs>
          <w:tab w:leader="none" w:pos="26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Insider trading arrangements and policies.</w:t>
      </w:r>
    </w:p>
    <w:p>
      <w:pPr>
        <w:spacing w:after="0" w:line="254"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2024,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225" w:lineRule="exact"/>
        <w:rPr>
          <w:sz w:val="20"/>
          <w:szCs w:val="20"/>
          <w:color w:val="auto"/>
        </w:rPr>
      </w:pPr>
    </w:p>
    <w:tbl>
      <w:tblPr>
        <w:tblLayout w:type="fixed"/>
        <w:tblInd w:w="360" w:type="dxa"/>
        <w:tblCellMar>
          <w:top w:w="0" w:type="dxa"/>
          <w:left w:w="0" w:type="dxa"/>
          <w:bottom w:w="0" w:type="dxa"/>
          <w:right w:w="0" w:type="dxa"/>
        </w:tblCellMar>
      </w:tblPr>
      <w:tr>
        <w:trPr>
          <w:trHeight w:val="190"/>
        </w:trPr>
        <w:tc>
          <w:tcPr>
            <w:tcW w:w="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w:t>
            </w:r>
          </w:p>
        </w:tc>
        <w:tc>
          <w:tcPr>
            <w:tcW w:w="15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540" w:type="dxa"/>
            <w:vAlign w:val="bottom"/>
            <w:gridSpan w:val="16"/>
          </w:tcPr>
          <w:p>
            <w:pPr>
              <w:ind w:left="6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r>
      <w:tr>
        <w:trPr>
          <w:trHeight w:val="23"/>
        </w:trPr>
        <w:tc>
          <w:tcPr>
            <w:tcW w:w="64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182"/>
        </w:trPr>
        <w:tc>
          <w:tcPr>
            <w:tcW w:w="640" w:type="dxa"/>
            <w:vAlign w:val="bottom"/>
          </w:tcPr>
          <w:p>
            <w:pPr>
              <w:spacing w:after="0"/>
              <w:rPr>
                <w:sz w:val="15"/>
                <w:szCs w:val="15"/>
                <w:color w:val="auto"/>
              </w:rPr>
            </w:pPr>
          </w:p>
        </w:tc>
        <w:tc>
          <w:tcPr>
            <w:tcW w:w="144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60" w:type="dxa"/>
            <w:vAlign w:val="bottom"/>
            <w:gridSpan w:val="20"/>
          </w:tcPr>
          <w:p>
            <w:pPr>
              <w:spacing w:after="0" w:line="182" w:lineRule="exact"/>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Asset Purchase Agreement, dated June 12, 2023, by and among Overstock.com, Inc., Bed Bath &amp; Beyond Inc. and</w:t>
              </w:r>
            </w:hyperlink>
          </w:p>
        </w:tc>
      </w:tr>
      <w:tr>
        <w:trPr>
          <w:trHeight w:val="156"/>
        </w:trPr>
        <w:tc>
          <w:tcPr>
            <w:tcW w:w="6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6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50">
              <w:r>
                <w:rPr>
                  <w:rFonts w:ascii="Times New Roman" w:cs="Times New Roman" w:eastAsia="Times New Roman" w:hAnsi="Times New Roman"/>
                  <w:sz w:val="18"/>
                  <w:szCs w:val="18"/>
                  <w:color w:val="0000FF"/>
                  <w:w w:val="99"/>
                </w:rPr>
                <w:t>certain subsidiaries of Bed Bath &amp; Beyond Inc., incorporated by reference to Exhibit 2.1 to the Company's Current</w:t>
              </w:r>
            </w:hyperlink>
          </w:p>
        </w:tc>
        <w:tc>
          <w:tcPr>
            <w:tcW w:w="20" w:type="dxa"/>
            <w:vAlign w:val="bottom"/>
            <w:tcBorders>
              <w:bottom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9"/>
        </w:trPr>
        <w:tc>
          <w:tcPr>
            <w:tcW w:w="6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80" w:type="dxa"/>
            <w:vAlign w:val="bottom"/>
            <w:gridSpan w:val="14"/>
          </w:tcPr>
          <w:p>
            <w:pPr>
              <w:spacing w:after="0" w:line="169" w:lineRule="exact"/>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Report on Form 8-K filed on June 13, 2023</w:t>
              </w:r>
            </w:hyperlink>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0"/>
        </w:trPr>
        <w:tc>
          <w:tcPr>
            <w:tcW w:w="6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64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60" w:type="dxa"/>
            <w:vAlign w:val="bottom"/>
            <w:gridSpan w:val="20"/>
          </w:tcPr>
          <w:p>
            <w:pPr>
              <w:spacing w:after="0"/>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Amended and Restated Certificate of Incorporation, incorporated by reference to Exhibit 3.1 to the Company's</w:t>
              </w:r>
            </w:hyperlink>
          </w:p>
        </w:tc>
      </w:tr>
      <w:tr>
        <w:trPr>
          <w:trHeight w:val="156"/>
        </w:trPr>
        <w:tc>
          <w:tcPr>
            <w:tcW w:w="6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96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Quarterly Report on Form 10-Q filed on July 29, 2014</w:t>
              </w:r>
            </w:hyperlink>
          </w:p>
        </w:tc>
        <w:tc>
          <w:tcPr>
            <w:tcW w:w="44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
        </w:trPr>
        <w:tc>
          <w:tcPr>
            <w:tcW w:w="6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64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60" w:type="dxa"/>
            <w:vAlign w:val="bottom"/>
            <w:gridSpan w:val="20"/>
          </w:tcPr>
          <w:p>
            <w:pPr>
              <w:spacing w:after="0"/>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Certificate of Amendment to Amended and Restated Certificate of Incorporation, incorporated by reference to Exhibit</w:t>
              </w:r>
            </w:hyperlink>
          </w:p>
        </w:tc>
      </w:tr>
      <w:tr>
        <w:trPr>
          <w:trHeight w:val="156"/>
        </w:trPr>
        <w:tc>
          <w:tcPr>
            <w:tcW w:w="6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2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FF"/>
                </w:rPr>
                <w:t xml:space="preserve"> to the Company's Current Report on Form 8-K filed on November 6, 2023</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
        </w:trPr>
        <w:tc>
          <w:tcPr>
            <w:tcW w:w="6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64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60" w:type="dxa"/>
            <w:vAlign w:val="bottom"/>
            <w:gridSpan w:val="20"/>
          </w:tcPr>
          <w:p>
            <w:pPr>
              <w:spacing w:after="0"/>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Certificate of Amendment to Amended and Restated Certificate of Incorporation, incorporated by reference to Exhibit</w:t>
              </w:r>
            </w:hyperlink>
          </w:p>
        </w:tc>
      </w:tr>
      <w:tr>
        <w:trPr>
          <w:trHeight w:val="155"/>
        </w:trPr>
        <w:tc>
          <w:tcPr>
            <w:tcW w:w="6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2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to the Company's Current Report on Form 8-K filed on May 24, 2024</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
        </w:trPr>
        <w:tc>
          <w:tcPr>
            <w:tcW w:w="6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1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64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60" w:type="dxa"/>
            <w:vAlign w:val="bottom"/>
            <w:gridSpan w:val="20"/>
          </w:tcPr>
          <w:p>
            <w:pPr>
              <w:spacing w:after="0"/>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Fourth Amended and Restated Bylaws, incorporated by reference to Exhibit 3.2 to the Company's Current Report on</w:t>
              </w:r>
            </w:hyperlink>
          </w:p>
        </w:tc>
      </w:tr>
      <w:tr>
        <w:trPr>
          <w:trHeight w:val="156"/>
        </w:trPr>
        <w:tc>
          <w:tcPr>
            <w:tcW w:w="6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Form 8-K filed on May 24, 2024</w:t>
              </w:r>
            </w:hyperlink>
          </w:p>
        </w:tc>
        <w:tc>
          <w:tcPr>
            <w:tcW w:w="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
        </w:trPr>
        <w:tc>
          <w:tcPr>
            <w:tcW w:w="6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20" w:type="dxa"/>
            <w:vAlign w:val="bottom"/>
            <w:gridSpan w:val="7"/>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64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60" w:type="dxa"/>
            <w:vAlign w:val="bottom"/>
            <w:gridSpan w:val="20"/>
          </w:tcPr>
          <w:p>
            <w:pPr>
              <w:spacing w:after="0"/>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Form of Indenture, incorporated by reference to Exhibit 4.3 to the Company's Registration Statement on Form S-3ASR</w:t>
              </w:r>
            </w:hyperlink>
          </w:p>
        </w:tc>
      </w:tr>
      <w:tr>
        <w:trPr>
          <w:trHeight w:val="155"/>
        </w:trPr>
        <w:tc>
          <w:tcPr>
            <w:tcW w:w="6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8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filed on June 10, 2024</w:t>
              </w:r>
            </w:hyperlink>
          </w:p>
        </w:tc>
        <w:tc>
          <w:tcPr>
            <w:tcW w:w="80" w:type="dxa"/>
            <w:vAlign w:val="bottom"/>
          </w:tcPr>
          <w:p>
            <w:pPr>
              <w:spacing w:after="0"/>
              <w:rPr>
                <w:sz w:val="13"/>
                <w:szCs w:val="13"/>
                <w:color w:val="auto"/>
              </w:rPr>
            </w:pPr>
          </w:p>
        </w:tc>
      </w:tr>
      <w:tr>
        <w:trPr>
          <w:trHeight w:val="20"/>
        </w:trPr>
        <w:tc>
          <w:tcPr>
            <w:tcW w:w="6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20" w:type="dxa"/>
            <w:vAlign w:val="bottom"/>
            <w:gridSpan w:val="7"/>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23"/>
        </w:trPr>
        <w:tc>
          <w:tcPr>
            <w:tcW w:w="64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60" w:type="dxa"/>
            <w:vAlign w:val="bottom"/>
            <w:gridSpan w:val="20"/>
          </w:tcPr>
          <w:p>
            <w:pPr>
              <w:spacing w:after="0"/>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Agreement for Purchase and Sale of Real Property and Escrow Instructions, dated September 16, 2024, between Peace</w:t>
              </w:r>
            </w:hyperlink>
          </w:p>
        </w:tc>
      </w:tr>
      <w:tr>
        <w:trPr>
          <w:trHeight w:val="156"/>
        </w:trPr>
        <w:tc>
          <w:tcPr>
            <w:tcW w:w="6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6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Coliseum, LLC and Salt Lake County, incorporated by reference to Exhibit 10.1 to the Company’s Current Report on</w:t>
              </w:r>
            </w:hyperlink>
          </w:p>
        </w:tc>
        <w:tc>
          <w:tcPr>
            <w:tcW w:w="100" w:type="dxa"/>
            <w:vAlign w:val="bottom"/>
            <w:gridSpan w:val="2"/>
          </w:tcPr>
          <w:p>
            <w:pPr>
              <w:spacing w:after="0"/>
              <w:rPr>
                <w:sz w:val="13"/>
                <w:szCs w:val="13"/>
                <w:color w:val="auto"/>
              </w:rPr>
            </w:pPr>
          </w:p>
        </w:tc>
      </w:tr>
      <w:tr>
        <w:trPr>
          <w:trHeight w:val="169"/>
        </w:trPr>
        <w:tc>
          <w:tcPr>
            <w:tcW w:w="6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40" w:type="dxa"/>
            <w:vAlign w:val="bottom"/>
            <w:tcBorders>
              <w:top w:val="single" w:sz="8" w:color="0000FF"/>
            </w:tcBorders>
            <w:gridSpan w:val="16"/>
          </w:tcPr>
          <w:p>
            <w:pPr>
              <w:spacing w:after="0" w:line="169" w:lineRule="exact"/>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Form 8-K filed on September 17, 2024</w:t>
              </w:r>
            </w:hyperlink>
          </w:p>
        </w:tc>
        <w:tc>
          <w:tcPr>
            <w:tcW w:w="220" w:type="dxa"/>
            <w:vAlign w:val="bottom"/>
            <w:gridSpan w:val="4"/>
          </w:tcPr>
          <w:p>
            <w:pPr>
              <w:spacing w:after="0"/>
              <w:rPr>
                <w:sz w:val="14"/>
                <w:szCs w:val="14"/>
                <w:color w:val="auto"/>
              </w:rPr>
            </w:pPr>
          </w:p>
        </w:tc>
      </w:tr>
      <w:tr>
        <w:trPr>
          <w:trHeight w:val="20"/>
        </w:trPr>
        <w:tc>
          <w:tcPr>
            <w:tcW w:w="6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0" w:type="dxa"/>
            <w:vAlign w:val="bottom"/>
            <w:gridSpan w:val="3"/>
            <w:shd w:val="clear" w:color="auto" w:fill="0000FF"/>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40" w:type="dxa"/>
            <w:vAlign w:val="bottom"/>
            <w:gridSpan w:val="11"/>
          </w:tcPr>
          <w:p>
            <w:pPr>
              <w:spacing w:after="0" w:line="20" w:lineRule="exact"/>
              <w:rPr>
                <w:sz w:val="1"/>
                <w:szCs w:val="1"/>
                <w:color w:val="auto"/>
              </w:rPr>
            </w:pPr>
          </w:p>
        </w:tc>
      </w:tr>
      <w:tr>
        <w:trPr>
          <w:trHeight w:val="210"/>
        </w:trPr>
        <w:tc>
          <w:tcPr>
            <w:tcW w:w="64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Rule 13a-14(a)/15d-14(a) Certification of Principal Executive Officer</w:t>
            </w:r>
          </w:p>
        </w:tc>
        <w:tc>
          <w:tcPr>
            <w:tcW w:w="3640" w:type="dxa"/>
            <w:vAlign w:val="bottom"/>
            <w:gridSpan w:val="11"/>
          </w:tcPr>
          <w:p>
            <w:pPr>
              <w:spacing w:after="0"/>
              <w:rPr>
                <w:sz w:val="18"/>
                <w:szCs w:val="18"/>
                <w:color w:val="auto"/>
              </w:rPr>
            </w:pPr>
          </w:p>
        </w:tc>
      </w:tr>
      <w:tr>
        <w:trPr>
          <w:trHeight w:val="209"/>
        </w:trPr>
        <w:tc>
          <w:tcPr>
            <w:tcW w:w="64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Rule 13a-14(a)/15d-14(a) Certification of Principal Financial Officer</w:t>
            </w:r>
          </w:p>
        </w:tc>
      </w:tr>
      <w:tr>
        <w:trPr>
          <w:trHeight w:val="209"/>
        </w:trPr>
        <w:tc>
          <w:tcPr>
            <w:tcW w:w="64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2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Section 1350 Certification of Principal Executive Officer</w:t>
            </w:r>
          </w:p>
        </w:tc>
        <w:tc>
          <w:tcPr>
            <w:tcW w:w="840" w:type="dxa"/>
            <w:vAlign w:val="bottom"/>
            <w:tcBorders>
              <w:top w:val="single" w:sz="8" w:color="0000FF"/>
            </w:tcBorders>
          </w:tcPr>
          <w:p>
            <w:pPr>
              <w:spacing w:after="0"/>
              <w:rPr>
                <w:sz w:val="18"/>
                <w:szCs w:val="18"/>
                <w:color w:val="auto"/>
              </w:rPr>
            </w:pPr>
          </w:p>
        </w:tc>
        <w:tc>
          <w:tcPr>
            <w:tcW w:w="3700" w:type="dxa"/>
            <w:vAlign w:val="bottom"/>
            <w:gridSpan w:val="12"/>
          </w:tcPr>
          <w:p>
            <w:pPr>
              <w:spacing w:after="0"/>
              <w:rPr>
                <w:sz w:val="18"/>
                <w:szCs w:val="18"/>
                <w:color w:val="auto"/>
              </w:rPr>
            </w:pPr>
          </w:p>
        </w:tc>
      </w:tr>
      <w:tr>
        <w:trPr>
          <w:trHeight w:val="209"/>
        </w:trPr>
        <w:tc>
          <w:tcPr>
            <w:tcW w:w="64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Section 1350 Certification of Principal Financial Officer</w:t>
            </w:r>
          </w:p>
        </w:tc>
      </w:tr>
      <w:tr>
        <w:trPr>
          <w:trHeight w:val="20"/>
        </w:trPr>
        <w:tc>
          <w:tcPr>
            <w:tcW w:w="6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6" w:lineRule="exact"/>
        <w:rPr>
          <w:sz w:val="20"/>
          <w:szCs w:val="20"/>
          <w:color w:val="auto"/>
        </w:rPr>
      </w:pPr>
    </w:p>
    <w:p>
      <w:pPr>
        <w:ind w:left="2560" w:right="200" w:hanging="979"/>
        <w:spacing w:after="0" w:line="261" w:lineRule="auto"/>
        <w:tabs>
          <w:tab w:leader="none" w:pos="25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Attached as Exhibit 101 to this report are the following documents formatted in Inline XBRL (Extensible Business Reporting Language): (i) Consolidated Balance Sheets, (ii) Consolidated Statements of Operations, (iii) Consolidated Statements of Comprehensive Loss, (iv) Consolidated Statements of Cash Flows, (v) Consolidated Statements of Stockholders' Equity, and (vi) Notes to Consolidated Financial Statements.</w:t>
      </w:r>
    </w:p>
    <w:p>
      <w:pPr>
        <w:spacing w:after="0" w:line="18" w:lineRule="exact"/>
        <w:rPr>
          <w:sz w:val="20"/>
          <w:szCs w:val="20"/>
          <w:color w:val="auto"/>
        </w:rPr>
      </w:pPr>
    </w:p>
    <w:p>
      <w:pPr>
        <w:ind w:left="2560" w:right="620" w:hanging="979"/>
        <w:spacing w:after="0" w:line="282" w:lineRule="auto"/>
        <w:tabs>
          <w:tab w:leader="none" w:pos="25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Quarterly Report on Form 10-Q for the quarter ended September 30, 2024, formatted in Inline XBRL (included as Exhibit 101).</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ind w:left="880" w:hanging="224"/>
        <w:spacing w:after="0"/>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9" w:lineRule="exact"/>
        <w:rPr>
          <w:rFonts w:ascii="Times New Roman" w:cs="Times New Roman" w:eastAsia="Times New Roman" w:hAnsi="Times New Roman"/>
          <w:sz w:val="18"/>
          <w:szCs w:val="18"/>
          <w:color w:val="auto"/>
        </w:rPr>
      </w:pPr>
    </w:p>
    <w:p>
      <w:pPr>
        <w:ind w:right="260" w:firstLine="656"/>
        <w:spacing w:after="0" w:line="260" w:lineRule="auto"/>
        <w:tabs>
          <w:tab w:leader="none" w:pos="96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exhibits have been omitted pursuant to Item 601(a)(5) of Regulation S-K. The Reporting Company agrees to furnish supplementally a copy of any omitted schedule or exhibit to the SEC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93" w:lineRule="exact"/>
        <w:rPr>
          <w:sz w:val="20"/>
          <w:szCs w:val="20"/>
          <w:color w:val="auto"/>
        </w:rPr>
      </w:pPr>
    </w:p>
    <w:p>
      <w:pPr>
        <w:ind w:left="20"/>
        <w:spacing w:after="0"/>
        <w:tabs>
          <w:tab w:leader="none" w:pos="700" w:val="left"/>
          <w:tab w:leader="none" w:pos="55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October 25, 2024</w:t>
      </w:r>
      <w:r>
        <w:rPr>
          <w:sz w:val="20"/>
          <w:szCs w:val="20"/>
          <w:color w:val="auto"/>
        </w:rPr>
        <w:tab/>
      </w:r>
      <w:r>
        <w:rPr>
          <w:rFonts w:ascii="Times New Roman" w:cs="Times New Roman" w:eastAsia="Times New Roman" w:hAnsi="Times New Roman"/>
          <w:sz w:val="18"/>
          <w:szCs w:val="18"/>
          <w:b w:val="1"/>
          <w:bCs w:val="1"/>
          <w:color w:val="auto"/>
        </w:rPr>
        <w:t>BEYOND, INC.</w:t>
      </w:r>
    </w:p>
    <w:p>
      <w:pPr>
        <w:spacing w:after="0" w:line="25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/s/ ADRIANNE B.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17145</wp:posOffset>
            </wp:positionV>
            <wp:extent cx="35750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3575050" cy="8890"/>
                    </a:xfrm>
                    <a:prstGeom prst="rect">
                      <a:avLst/>
                    </a:prstGeom>
                    <a:noFill/>
                  </pic:spPr>
                </pic:pic>
              </a:graphicData>
            </a:graphic>
          </wp:anchor>
        </w:drawing>
      </w:r>
    </w:p>
    <w:p>
      <w:pPr>
        <w:spacing w:after="0" w:line="1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Adrianne B. Lee</w:t>
      </w:r>
    </w:p>
    <w:p>
      <w:pPr>
        <w:spacing w:after="0" w:line="1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Chief Financial &amp; Administrative Officer</w:t>
      </w:r>
    </w:p>
    <w:p>
      <w:pPr>
        <w:ind w:left="560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20"/>
          </w:cols>
          <w:pgMar w:left="320" w:top="364" w:right="65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J. Nielsen, certify that:</w:t>
      </w:r>
    </w:p>
    <w:p>
      <w:pPr>
        <w:spacing w:after="0" w:line="225" w:lineRule="exact"/>
        <w:rPr>
          <w:sz w:val="20"/>
          <w:szCs w:val="20"/>
          <w:color w:val="auto"/>
        </w:rPr>
      </w:pPr>
    </w:p>
    <w:p>
      <w:pPr>
        <w:ind w:left="1060" w:hanging="728"/>
        <w:spacing w:after="0"/>
        <w:tabs>
          <w:tab w:leader="none" w:pos="10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Beyond, Inc.;</w:t>
      </w:r>
    </w:p>
    <w:p>
      <w:pPr>
        <w:spacing w:after="0" w:line="225" w:lineRule="exact"/>
        <w:rPr>
          <w:rFonts w:ascii="Times New Roman" w:cs="Times New Roman" w:eastAsia="Times New Roman" w:hAnsi="Times New Roman"/>
          <w:sz w:val="18"/>
          <w:szCs w:val="18"/>
          <w:color w:val="auto"/>
        </w:rPr>
      </w:pPr>
    </w:p>
    <w:p>
      <w:pPr>
        <w:ind w:left="660" w:right="420" w:hanging="328"/>
        <w:spacing w:after="0" w:line="266" w:lineRule="auto"/>
        <w:tabs>
          <w:tab w:leader="none" w:pos="105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620" w:hanging="328"/>
        <w:spacing w:after="0" w:line="312" w:lineRule="auto"/>
        <w:tabs>
          <w:tab w:leader="none" w:pos="1011"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Times New Roman" w:cs="Times New Roman" w:eastAsia="Times New Roman" w:hAnsi="Times New Roman"/>
          <w:sz w:val="17"/>
          <w:szCs w:val="17"/>
          <w:color w:val="auto"/>
        </w:rPr>
      </w:pPr>
    </w:p>
    <w:p>
      <w:pPr>
        <w:ind w:left="660" w:right="380" w:hanging="328"/>
        <w:spacing w:after="0" w:line="266" w:lineRule="auto"/>
        <w:tabs>
          <w:tab w:leader="none" w:pos="100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440" w:hanging="324"/>
        <w:spacing w:after="0" w:line="266" w:lineRule="auto"/>
        <w:tabs>
          <w:tab w:leader="none" w:pos="1276"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180" w:hanging="324"/>
        <w:spacing w:after="0" w:line="266" w:lineRule="auto"/>
        <w:tabs>
          <w:tab w:leader="none" w:pos="1286"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right="240" w:hanging="324"/>
        <w:spacing w:after="0" w:line="282" w:lineRule="auto"/>
        <w:tabs>
          <w:tab w:leader="none" w:pos="132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1286"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620" w:hanging="328"/>
        <w:spacing w:after="0" w:line="266" w:lineRule="auto"/>
        <w:tabs>
          <w:tab w:leader="none" w:pos="105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980" w:right="540" w:hanging="324"/>
        <w:spacing w:after="0" w:line="282" w:lineRule="auto"/>
        <w:tabs>
          <w:tab w:leader="none" w:pos="1276"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220" w:hanging="324"/>
        <w:spacing w:after="0" w:line="282" w:lineRule="auto"/>
        <w:tabs>
          <w:tab w:leader="none" w:pos="1286"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25, 2024</w:t>
            </w:r>
          </w:p>
        </w:tc>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DAVID J. NIELSEN</w:t>
            </w:r>
          </w:p>
        </w:tc>
      </w:tr>
      <w:tr>
        <w:trPr>
          <w:trHeight w:val="218"/>
        </w:trPr>
        <w:tc>
          <w:tcPr>
            <w:tcW w:w="5260" w:type="dxa"/>
            <w:vAlign w:val="bottom"/>
          </w:tcPr>
          <w:p>
            <w:pPr>
              <w:spacing w:after="0"/>
              <w:rPr>
                <w:sz w:val="18"/>
                <w:szCs w:val="18"/>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J. Nielsen</w:t>
            </w:r>
          </w:p>
        </w:tc>
      </w:tr>
      <w:tr>
        <w:trPr>
          <w:trHeight w:val="230"/>
        </w:trPr>
        <w:tc>
          <w:tcPr>
            <w:tcW w:w="5260" w:type="dxa"/>
            <w:vAlign w:val="bottom"/>
          </w:tcPr>
          <w:p>
            <w:pPr>
              <w:spacing w:after="0"/>
              <w:rPr>
                <w:sz w:val="19"/>
                <w:szCs w:val="19"/>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w:t>
            </w:r>
          </w:p>
        </w:tc>
      </w:tr>
      <w:tr>
        <w:trPr>
          <w:trHeight w:val="234"/>
        </w:trPr>
        <w:tc>
          <w:tcPr>
            <w:tcW w:w="5260" w:type="dxa"/>
            <w:vAlign w:val="bottom"/>
          </w:tcPr>
          <w:p>
            <w:pPr>
              <w:spacing w:after="0"/>
              <w:rPr>
                <w:sz w:val="20"/>
                <w:szCs w:val="20"/>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87"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Adrianne B. Lee, certify that:</w:t>
      </w:r>
    </w:p>
    <w:p>
      <w:pPr>
        <w:spacing w:after="0" w:line="225" w:lineRule="exact"/>
        <w:rPr>
          <w:sz w:val="20"/>
          <w:szCs w:val="20"/>
          <w:color w:val="auto"/>
        </w:rPr>
      </w:pPr>
    </w:p>
    <w:p>
      <w:pPr>
        <w:ind w:left="1060" w:hanging="728"/>
        <w:spacing w:after="0"/>
        <w:tabs>
          <w:tab w:leader="none" w:pos="10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Beyond, Inc.;</w:t>
      </w:r>
    </w:p>
    <w:p>
      <w:pPr>
        <w:spacing w:after="0" w:line="225" w:lineRule="exact"/>
        <w:rPr>
          <w:rFonts w:ascii="Times New Roman" w:cs="Times New Roman" w:eastAsia="Times New Roman" w:hAnsi="Times New Roman"/>
          <w:sz w:val="18"/>
          <w:szCs w:val="18"/>
          <w:color w:val="auto"/>
        </w:rPr>
      </w:pPr>
    </w:p>
    <w:p>
      <w:pPr>
        <w:ind w:left="660" w:right="420" w:hanging="328"/>
        <w:spacing w:after="0" w:line="266" w:lineRule="auto"/>
        <w:tabs>
          <w:tab w:leader="none" w:pos="105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620" w:hanging="328"/>
        <w:spacing w:after="0" w:line="312" w:lineRule="auto"/>
        <w:tabs>
          <w:tab w:leader="none" w:pos="1011"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Times New Roman" w:cs="Times New Roman" w:eastAsia="Times New Roman" w:hAnsi="Times New Roman"/>
          <w:sz w:val="17"/>
          <w:szCs w:val="17"/>
          <w:color w:val="auto"/>
        </w:rPr>
      </w:pPr>
    </w:p>
    <w:p>
      <w:pPr>
        <w:ind w:left="660" w:right="380" w:hanging="328"/>
        <w:spacing w:after="0" w:line="266" w:lineRule="auto"/>
        <w:tabs>
          <w:tab w:leader="none" w:pos="100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440" w:hanging="324"/>
        <w:spacing w:after="0" w:line="266" w:lineRule="auto"/>
        <w:tabs>
          <w:tab w:leader="none" w:pos="1276"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180" w:hanging="324"/>
        <w:spacing w:after="0" w:line="266" w:lineRule="auto"/>
        <w:tabs>
          <w:tab w:leader="none" w:pos="1286"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right="240" w:hanging="324"/>
        <w:spacing w:after="0" w:line="282" w:lineRule="auto"/>
        <w:tabs>
          <w:tab w:leader="none" w:pos="132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1286"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620" w:hanging="328"/>
        <w:spacing w:after="0" w:line="266" w:lineRule="auto"/>
        <w:tabs>
          <w:tab w:leader="none" w:pos="105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980" w:right="540" w:hanging="324"/>
        <w:spacing w:after="0" w:line="282" w:lineRule="auto"/>
        <w:tabs>
          <w:tab w:leader="none" w:pos="1276"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220" w:hanging="324"/>
        <w:spacing w:after="0" w:line="282" w:lineRule="auto"/>
        <w:tabs>
          <w:tab w:leader="none" w:pos="1286"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25, 2024</w:t>
            </w:r>
          </w:p>
        </w:tc>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ADRIANNE B. LEE</w:t>
            </w:r>
          </w:p>
        </w:tc>
      </w:tr>
      <w:tr>
        <w:trPr>
          <w:trHeight w:val="218"/>
        </w:trPr>
        <w:tc>
          <w:tcPr>
            <w:tcW w:w="5260" w:type="dxa"/>
            <w:vAlign w:val="bottom"/>
          </w:tcPr>
          <w:p>
            <w:pPr>
              <w:spacing w:after="0"/>
              <w:rPr>
                <w:sz w:val="18"/>
                <w:szCs w:val="18"/>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Adrianne B. Lee</w:t>
            </w:r>
          </w:p>
        </w:tc>
      </w:tr>
      <w:tr>
        <w:trPr>
          <w:trHeight w:val="230"/>
        </w:trPr>
        <w:tc>
          <w:tcPr>
            <w:tcW w:w="5260" w:type="dxa"/>
            <w:vAlign w:val="bottom"/>
          </w:tcPr>
          <w:p>
            <w:pPr>
              <w:spacing w:after="0"/>
              <w:rPr>
                <w:sz w:val="19"/>
                <w:szCs w:val="19"/>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&amp; Administrative Officer</w:t>
            </w:r>
          </w:p>
        </w:tc>
      </w:tr>
      <w:tr>
        <w:trPr>
          <w:trHeight w:val="234"/>
        </w:trPr>
        <w:tc>
          <w:tcPr>
            <w:tcW w:w="5260" w:type="dxa"/>
            <w:vAlign w:val="bottom"/>
          </w:tcPr>
          <w:p>
            <w:pPr>
              <w:spacing w:after="0"/>
              <w:rPr>
                <w:sz w:val="20"/>
                <w:szCs w:val="20"/>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bl>
    <w:p>
      <w:pPr>
        <w:sectPr>
          <w:pgSz w:w="11900" w:h="16838" w:orient="portrait"/>
          <w:cols w:equalWidth="0" w:num="1">
            <w:col w:w="11240"/>
          </w:cols>
          <w:pgMar w:left="320" w:top="887"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 David J. Nielsen, certify, pursuant to 18 U.S.C. Section 1350, as adopted pursuant to Section 906 of the Sarbanes-Oxley Act of 2002, as amended, that the Quarterly Report on Form 10-Q of Beyond, Inc. for the quarter ended September 30, 2024 (the "Report") fully complies with the requirements of Section 13(a) or 15(d) of the Securities Exchange Act of 1934, as amended, and that information contained in such Report fairly presents in all material respects the financial condition and results of operations of Beyond, Inc.</w:t>
      </w:r>
    </w:p>
    <w:p>
      <w:pPr>
        <w:spacing w:after="0" w:line="31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25, 2024</w:t>
            </w:r>
          </w:p>
        </w:tc>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DAVID J. NIELSEN</w:t>
            </w:r>
          </w:p>
        </w:tc>
      </w:tr>
      <w:tr>
        <w:trPr>
          <w:trHeight w:val="218"/>
        </w:trPr>
        <w:tc>
          <w:tcPr>
            <w:tcW w:w="5260" w:type="dxa"/>
            <w:vAlign w:val="bottom"/>
          </w:tcPr>
          <w:p>
            <w:pPr>
              <w:spacing w:after="0"/>
              <w:rPr>
                <w:sz w:val="18"/>
                <w:szCs w:val="18"/>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J. Nielsen</w:t>
            </w:r>
          </w:p>
        </w:tc>
      </w:tr>
      <w:tr>
        <w:trPr>
          <w:trHeight w:val="229"/>
        </w:trPr>
        <w:tc>
          <w:tcPr>
            <w:tcW w:w="5260" w:type="dxa"/>
            <w:vAlign w:val="bottom"/>
          </w:tcPr>
          <w:p>
            <w:pPr>
              <w:spacing w:after="0"/>
              <w:rPr>
                <w:sz w:val="19"/>
                <w:szCs w:val="19"/>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w:t>
            </w:r>
          </w:p>
        </w:tc>
      </w:tr>
      <w:tr>
        <w:trPr>
          <w:trHeight w:val="234"/>
        </w:trPr>
        <w:tc>
          <w:tcPr>
            <w:tcW w:w="5260" w:type="dxa"/>
            <w:vAlign w:val="bottom"/>
          </w:tcPr>
          <w:p>
            <w:pPr>
              <w:spacing w:after="0"/>
              <w:rPr>
                <w:sz w:val="20"/>
                <w:szCs w:val="20"/>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87"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 Adrianne B. Lee, certify, pursuant to 18 U.S.C. Section 1350, as adopted pursuant to Section 906 of the Sarbanes-Oxley Act of 2002, as amended, that the Quarterly Report on Form 10-Q of Beyond, Inc. for the quarter ended September 30, 2024 (the "Report") fully complies with the requirements of Section 13(a) or 15(d) of the Securities Exchange Act of 1934, as amended, and that information contained in such Report fairly presents in all material respects the financial condition and results of operations of Beyond, Inc.</w:t>
      </w:r>
    </w:p>
    <w:p>
      <w:pPr>
        <w:spacing w:after="0" w:line="31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25, 2024</w:t>
            </w:r>
          </w:p>
        </w:tc>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ADRIANNE B. LEE</w:t>
            </w:r>
          </w:p>
        </w:tc>
      </w:tr>
      <w:tr>
        <w:trPr>
          <w:trHeight w:val="218"/>
        </w:trPr>
        <w:tc>
          <w:tcPr>
            <w:tcW w:w="5260" w:type="dxa"/>
            <w:vAlign w:val="bottom"/>
          </w:tcPr>
          <w:p>
            <w:pPr>
              <w:spacing w:after="0"/>
              <w:rPr>
                <w:sz w:val="18"/>
                <w:szCs w:val="18"/>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Adrianne B. Lee</w:t>
            </w:r>
          </w:p>
        </w:tc>
      </w:tr>
      <w:tr>
        <w:trPr>
          <w:trHeight w:val="229"/>
        </w:trPr>
        <w:tc>
          <w:tcPr>
            <w:tcW w:w="5260" w:type="dxa"/>
            <w:vAlign w:val="bottom"/>
          </w:tcPr>
          <w:p>
            <w:pPr>
              <w:spacing w:after="0"/>
              <w:rPr>
                <w:sz w:val="19"/>
                <w:szCs w:val="19"/>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&amp; Administrative Officer</w:t>
            </w:r>
          </w:p>
        </w:tc>
      </w:tr>
      <w:tr>
        <w:trPr>
          <w:trHeight w:val="234"/>
        </w:trPr>
        <w:tc>
          <w:tcPr>
            <w:tcW w:w="5260" w:type="dxa"/>
            <w:vAlign w:val="bottom"/>
          </w:tcPr>
          <w:p>
            <w:pPr>
              <w:spacing w:after="0"/>
              <w:rPr>
                <w:sz w:val="20"/>
                <w:szCs w:val="20"/>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decimal"/>
      <w:start w:val="1"/>
    </w:lvl>
    <w:lvl w:ilvl="1">
      <w:lvlJc w:val="left"/>
      <w:lvlText w:val="(%2)"/>
      <w:numFmt w:val="decimal"/>
      <w:start w:val="1"/>
    </w:lvl>
  </w:abstractNum>
  <w:abstractNum w:abstractNumId="6">
    <w:nsid w:val="140E0F76"/>
    <w:multiLevelType w:val="hybridMultilevel"/>
    <w:lvl w:ilvl="0">
      <w:lvlJc w:val="left"/>
      <w:lvlText w:val="%1."/>
      <w:numFmt w:val="decimal"/>
      <w:start w:val="7"/>
    </w:lvl>
    <w:lvl w:ilvl="1">
      <w:lvlJc w:val="left"/>
      <w:lvlText w:val="%2"/>
      <w:numFmt w:val="decimal"/>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740"/>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lowerLetter"/>
      <w:start w:val="1"/>
    </w:lvl>
  </w:abstractNum>
  <w:abstractNum w:abstractNumId="12">
    <w:nsid w:val="41A7C4C9"/>
    <w:multiLevelType w:val="hybridMultilevel"/>
    <w:lvl w:ilvl="0">
      <w:lvlJc w:val="left"/>
      <w:lvlText w:val="%1"/>
      <w:numFmt w:val="decimal"/>
      <w:start w:val="101"/>
    </w:lvl>
  </w:abstractNum>
  <w:abstractNum w:abstractNumId="13">
    <w:nsid w:val="6B68079A"/>
    <w:multiLevelType w:val="hybridMultilevel"/>
    <w:lvl w:ilvl="0">
      <w:lvlJc w:val="left"/>
      <w:lvlText w:val="%1"/>
      <w:numFmt w:val="decimal"/>
      <w:start w:val="104"/>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
      <w:numFmt w:val="bullet"/>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0" Type="http://schemas.openxmlformats.org/officeDocument/2006/relationships/hyperlink" Target="https://www.sec.gov/Archives/edgar/data/1130713/000114036123029505/brhc20054372_ex2-1.htm" TargetMode="External"/><Relationship Id="rId51" Type="http://schemas.openxmlformats.org/officeDocument/2006/relationships/hyperlink" Target="https://www.sec.gov/Archives/edgar/data/1130713/000113071314000051/ex-31certificateofincorpor.htm" TargetMode="External"/><Relationship Id="rId52" Type="http://schemas.openxmlformats.org/officeDocument/2006/relationships/hyperlink" Target="https://www.sec.gov/Archives/edgar/data/1130713/000114036123051490/ef20013966_ex3-2.htm" TargetMode="External"/><Relationship Id="rId53" Type="http://schemas.openxmlformats.org/officeDocument/2006/relationships/hyperlink" Target="https://www.sec.gov/Archives/edgar/data/1130713/000113071324000037/ex31.htm" TargetMode="External"/><Relationship Id="rId54" Type="http://schemas.openxmlformats.org/officeDocument/2006/relationships/hyperlink" Target="https://www.sec.gov/Archives/edgar/data/1130713/000113071324000037/ex32.htm" TargetMode="External"/><Relationship Id="rId55" Type="http://schemas.openxmlformats.org/officeDocument/2006/relationships/hyperlink" Target="https://www.sec.gov/Archives/edgar/data/1130713/000114036124029414/ny20030476x1_ex4-3.htm" TargetMode="External"/><Relationship Id="rId56" Type="http://schemas.openxmlformats.org/officeDocument/2006/relationships/hyperlink" Target="https://www.sec.gov/ix?doc=/Archives/edgar/data/1130713/000113071324000060/ostk-2024091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2024-10-25T15:49:31Z</dcterms:created>
  <dcterms:modified xsi:type="dcterms:W3CDTF">2024-10-25T15:49:31Z</dcterms:modified>
</cp:coreProperties>
</file>