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rPr/>
      </w:pPr>
      <w:r>
        <w:rPr>
          <w:color w:val="000000"/>
        </w:rPr>
        <w:t> </w:t>
      </w:r>
      <w:r>
        <w:rPr>
          <w:rFonts w:ascii="Times New Roman;serif" w:hAnsi="Times New Roman;serif"/>
          <w:b/>
          <w:color w:val="000000"/>
          <w:sz w:val="18"/>
        </w:rPr>
        <w:t xml:space="preserve">For the quarterly period ended June 30,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001-41850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BEYOND,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7596" w:type="dxa"/>
        <w:jc w:val="left"/>
        <w:tblInd w:w="0" w:type="dxa"/>
        <w:tblLayout w:type="fixed"/>
        <w:tblCellMar>
          <w:top w:w="28" w:type="dxa"/>
          <w:left w:w="28" w:type="dxa"/>
          <w:bottom w:w="28" w:type="dxa"/>
          <w:right w:w="28" w:type="dxa"/>
        </w:tblCellMar>
      </w:tblPr>
      <w:tblGrid>
        <w:gridCol w:w="531"/>
        <w:gridCol w:w="466"/>
        <w:gridCol w:w="466"/>
        <w:gridCol w:w="466"/>
        <w:gridCol w:w="466"/>
        <w:gridCol w:w="466"/>
        <w:gridCol w:w="466"/>
        <w:gridCol w:w="466"/>
        <w:gridCol w:w="491"/>
        <w:gridCol w:w="109"/>
        <w:gridCol w:w="109"/>
        <w:gridCol w:w="109"/>
        <w:gridCol w:w="870"/>
        <w:gridCol w:w="870"/>
        <w:gridCol w:w="1245"/>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87-0634302</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433 W. Ascension Way, 3rd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84123</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(801) 947-3100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BYON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 xml:space="preserve">57,405,976 shares of the registrant's common stock, par value $0.0001, were outstanding on July 25, 2025.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3"/>
        <w:gridCol w:w="2443"/>
        <w:gridCol w:w="2448"/>
        <w:gridCol w:w="464"/>
        <w:gridCol w:w="464"/>
        <w:gridCol w:w="670"/>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fbd462053a74f74b31471b87884677f_13">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6">
              <w:r>
                <w:rPr>
                  <w:rStyle w:val="InternetLink"/>
                  <w:rFonts w:ascii="Times New Roman;serif" w:hAnsi="Times New Roman;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6">
              <w:r>
                <w:rPr>
                  <w:rStyle w:val="InternetLink"/>
                  <w:rFonts w:ascii="Times New Roman;serif" w:hAnsi="Times New Roman;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9">
              <w:r>
                <w:rPr>
                  <w:rStyle w:val="InternetLink"/>
                  <w:rFonts w:ascii="Times New Roman;serif" w:hAnsi="Times New Roman;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9">
              <w:r>
                <w:rPr>
                  <w:rStyle w:val="InternetLink"/>
                  <w:rFonts w:ascii="Times New Roman;serif" w:hAnsi="Times New Roman;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22">
              <w:r>
                <w:rPr>
                  <w:rStyle w:val="InternetLink"/>
                  <w:rFonts w:ascii="Times New Roman;serif" w:hAnsi="Times New Roman;serif"/>
                  <w:b w:val="false"/>
                  <w:color w:val="000080"/>
                  <w:sz w:val="20"/>
                  <w:u w:val="single"/>
                </w:rPr>
                <w:t>Consolidated Statements of</w:t>
              </w:r>
            </w:hyperlink>
            <w:hyperlink w:anchor="idfbd462053a74f74b31471b87884677f_25">
              <w:r>
                <w:rPr>
                  <w:rStyle w:val="InternetLink"/>
                  <w:rFonts w:ascii="Times New Roman;serif" w:hAnsi="Times New Roman;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22">
              <w:r>
                <w:rPr>
                  <w:rStyle w:val="InternetLink"/>
                  <w:rFonts w:ascii="Times New Roman;serif" w:hAnsi="Times New Roman;serif"/>
                  <w:b w:val="false"/>
                  <w:strike w:val="false"/>
                  <w:dstrike w:val="false"/>
                  <w:color w:val="000000"/>
                  <w:sz w:val="20"/>
                  <w:u w:val="none"/>
                  <w:effect w:val="none"/>
                </w:rPr>
                <w:t>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25">
              <w:r>
                <w:rPr>
                  <w:rStyle w:val="InternetLink"/>
                  <w:rFonts w:ascii="Times New Roman;serif" w:hAnsi="Times New Roman;serif"/>
                  <w:b w:val="false"/>
                  <w:color w:val="0000FF"/>
                  <w:sz w:val="20"/>
                  <w:u w:val="single"/>
                </w:rPr>
                <w:t>Consolidated Statements of Comprehensive Loss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25">
              <w:r>
                <w:rPr>
                  <w:rStyle w:val="InternetLink"/>
                  <w:rFonts w:ascii="Times New Roman;serif" w:hAnsi="Times New Roman;serif"/>
                  <w:b w:val="false"/>
                  <w:strike w:val="false"/>
                  <w:dstrike w:val="false"/>
                  <w:color w:val="000000"/>
                  <w:sz w:val="20"/>
                  <w:u w:val="none"/>
                  <w:effect w:val="non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28">
              <w:r>
                <w:rPr>
                  <w:rStyle w:val="InternetLink"/>
                  <w:rFonts w:ascii="Times New Roman;serif" w:hAnsi="Times New Roman;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28">
              <w:r>
                <w:rPr>
                  <w:rStyle w:val="InternetLink"/>
                  <w:rFonts w:ascii="Times New Roman;serif" w:hAnsi="Times New Roman;serif"/>
                  <w:b w:val="false"/>
                  <w:strike w:val="false"/>
                  <w:dstrike w:val="false"/>
                  <w:color w:val="000000"/>
                  <w:sz w:val="20"/>
                  <w:u w:val="none"/>
                  <w:effect w:val="none"/>
                </w:rPr>
                <w:t>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31">
              <w:r>
                <w:rPr>
                  <w:rStyle w:val="InternetLink"/>
                  <w:rFonts w:ascii="Times New Roman;serif" w:hAnsi="Times New Roman;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31">
              <w:r>
                <w:rPr>
                  <w:rStyle w:val="InternetLink"/>
                  <w:rFonts w:ascii="Times New Roman;serif" w:hAnsi="Times New Roman;serif"/>
                  <w:b w:val="false"/>
                  <w:strike w:val="false"/>
                  <w:dstrike w:val="false"/>
                  <w:color w:val="000000"/>
                  <w:sz w:val="20"/>
                  <w:u w:val="none"/>
                  <w:effect w:val="none"/>
                </w:rPr>
                <w:t>10</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34">
              <w:r>
                <w:rPr>
                  <w:rStyle w:val="InternetLink"/>
                  <w:rFonts w:ascii="Times New Roman;serif" w:hAnsi="Times New Roman;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34">
              <w:r>
                <w:rPr>
                  <w:rStyle w:val="InternetLink"/>
                  <w:rFonts w:ascii="Times New Roman;serif" w:hAnsi="Times New Roman;serif"/>
                  <w:b w:val="false"/>
                  <w:strike w:val="false"/>
                  <w:dstrike w:val="false"/>
                  <w:color w:val="000000"/>
                  <w:sz w:val="20"/>
                  <w:u w:val="none"/>
                  <w:effect w:val="none"/>
                </w:rPr>
                <w:t>11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91">
              <w:r>
                <w:rPr>
                  <w:rStyle w:val="InternetLink"/>
                  <w:rFonts w:ascii="Times New Roman;serif" w:hAnsi="Times New Roman;serif"/>
                  <w:b w:val="false"/>
                  <w:strike w:val="false"/>
                  <w:dstrike w:val="false"/>
                  <w:color w:val="000000"/>
                  <w:sz w:val="20"/>
                  <w:u w:val="none"/>
                  <w:effect w:val="none"/>
                </w:rPr>
                <w:t>22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06">
              <w:r>
                <w:rPr>
                  <w:rStyle w:val="InternetLink"/>
                  <w:rFonts w:ascii="Times New Roman;serif" w:hAnsi="Times New Roman;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06">
              <w:r>
                <w:rPr>
                  <w:rStyle w:val="InternetLink"/>
                  <w:rFonts w:ascii="Times New Roman;serif" w:hAnsi="Times New Roman;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09">
              <w:r>
                <w:rPr>
                  <w:rStyle w:val="InternetLink"/>
                  <w:rFonts w:ascii="Times New Roman;serif" w:hAnsi="Times New Roman;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09">
              <w:r>
                <w:rPr>
                  <w:rStyle w:val="InternetLink"/>
                  <w:rFonts w:ascii="Times New Roman;serif" w:hAnsi="Times New Roman;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fbd462053a74f74b31471b87884677f_112">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15">
              <w:r>
                <w:rPr>
                  <w:rStyle w:val="InternetLink"/>
                  <w:rFonts w:ascii="Times New Roman;serif" w:hAnsi="Times New Roman;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15">
              <w:r>
                <w:rPr>
                  <w:rStyle w:val="InternetLink"/>
                  <w:rFonts w:ascii="Times New Roman;serif" w:hAnsi="Times New Roman;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18">
              <w:r>
                <w:rPr>
                  <w:rStyle w:val="InternetLink"/>
                  <w:rFonts w:ascii="Times New Roman;serif" w:hAnsi="Times New Roman;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18">
              <w:r>
                <w:rPr>
                  <w:rStyle w:val="InternetLink"/>
                  <w:rFonts w:ascii="Times New Roman;serif" w:hAnsi="Times New Roman;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21">
              <w:r>
                <w:rPr>
                  <w:rStyle w:val="InternetLink"/>
                  <w:rFonts w:ascii="Times New Roman;serif" w:hAnsi="Times New Roman;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21">
              <w:r>
                <w:rPr>
                  <w:rStyle w:val="InternetLink"/>
                  <w:rFonts w:ascii="Times New Roman;serif" w:hAnsi="Times New Roman;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24">
              <w:r>
                <w:rPr>
                  <w:rStyle w:val="InternetLink"/>
                  <w:rFonts w:ascii="Times New Roman;serif" w:hAnsi="Times New Roman;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24">
              <w:r>
                <w:rPr>
                  <w:rStyle w:val="InternetLink"/>
                  <w:rFonts w:ascii="Times New Roman;serif" w:hAnsi="Times New Roman;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27">
              <w:r>
                <w:rPr>
                  <w:rStyle w:val="InternetLink"/>
                  <w:rFonts w:ascii="Times New Roman;serif" w:hAnsi="Times New Roman;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27">
              <w:r>
                <w:rPr>
                  <w:rStyle w:val="InternetLink"/>
                  <w:rFonts w:ascii="Times New Roman;serif" w:hAnsi="Times New Roman;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30">
              <w:r>
                <w:rPr>
                  <w:rStyle w:val="InternetLink"/>
                  <w:rFonts w:ascii="Times New Roman;serif" w:hAnsi="Times New Roman;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30">
              <w:r>
                <w:rPr>
                  <w:rStyle w:val="InternetLink"/>
                  <w:rFonts w:ascii="Times New Roman;serif" w:hAnsi="Times New Roman;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33">
              <w:r>
                <w:rPr>
                  <w:rStyle w:val="InternetLink"/>
                  <w:rFonts w:ascii="Times New Roman;serif" w:hAnsi="Times New Roman;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33">
              <w:r>
                <w:rPr>
                  <w:rStyle w:val="InternetLink"/>
                  <w:rFonts w:ascii="Times New Roman;serif" w:hAnsi="Times New Roman;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bd462053a74f74b31471b87884677f_136">
              <w:r>
                <w:rPr>
                  <w:rStyle w:val="InternetLink"/>
                  <w:rFonts w:ascii="Times New Roman;serif" w:hAnsi="Times New Roman;serif"/>
                  <w:b w:val="false"/>
                  <w:color w:val="0000FF"/>
                  <w:sz w:val="20"/>
                  <w:u w:val="single"/>
                </w:rPr>
                <w:t>Signatures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bd462053a74f74b31471b87884677f_136">
              <w:r>
                <w:rPr>
                  <w:rStyle w:val="InternetLink"/>
                  <w:rFonts w:ascii="Times New Roman;serif" w:hAnsi="Times New Roman;serif"/>
                  <w:b w:val="false"/>
                  <w:strike w:val="false"/>
                  <w:dstrike w:val="false"/>
                  <w:color w:val="000000"/>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We depend on third-party companies to perform functions critical to our business, and any failure or increased cost on their part could have a material adverse effect on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face intense competition and may not be able to compete successfully against existing or future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may not timely identify or effectively respond to consumer needs, expectations or trends, which could adversely affect our relationship with our customers, the demand for our products and services, and our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Economic factors, including recessions, other economic downturns, inflation, our exposure to the U.S. housing market, and decreases in consumer spending, have affected and could continue to adversely affect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Trade policies or restrictions, import and export policies, tariffs, bans, or other measures or events and related macroeconomic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changing business model and use of the Overstock brand, Bed Bath &amp; Beyond brand, buybuy BABY brand, and other brands of ours, could negatively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changing job market, the changes in our leadership team, the change in our compensation approach, changing job structures, or any inability to attract, retain and engage key personnel could affect our ability to successfully grow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rely upon paid and natural search engines to rank our product offerings, and our financial results may suffer if we are unable to maintain our prior rankings in natural searches.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business depends on the Internet, our infrastructure and transaction-processing systems, and catastrophic events could adversely affect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Failure to comply with, or changes in, laws, regulations and enforcement activities may adversely affect the products, services and markets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From time to time we are subject to various legal proceedings which could adversely affect our business, financial condition or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Damage to our reputation or brand image could adversely affect our sales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do not successfully optimize and operate shipping operations or customer service operations, our business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If we fail to effectively utilize technological advancements, including in artificial intelligence, our business and financial performance could be negatively impacted.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Global conflict could negatively impact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Product safety and quality concerns could have a material adverse impact on our revenue and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depend on our suppliers' and fulfillment partners' representations regarding product safety, content and quality, product compliance with various laws and regulations, including registration and/or reporting obligations, and for proper labeling of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We have an evolving business model, which increases the complexity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Investment in new business strategies, acquisitions, dispositions, partnerships, or other transactions could disrupt our ongoing business, present risks not originally contemplated and materially adversely affect our business, reputation, results of operations and financial condition.</w:t>
      </w:r>
    </w:p>
    <w:p>
      <w:pPr>
        <w:pStyle w:val="TextBody"/>
        <w:bidi w:val="0"/>
        <w:spacing w:before="0" w:after="0"/>
        <w:jc w:val="left"/>
        <w:rPr/>
      </w:pPr>
      <w:r>
        <w:rPr/>
      </w:r>
    </w:p>
    <w:p>
      <w:pPr>
        <w:pStyle w:val="TextBody"/>
        <w:bidi w:val="0"/>
        <w:spacing w:lineRule="auto" w:line="276" w:before="0" w:after="0"/>
        <w:ind w:left="0" w:right="0" w:firstLine="630"/>
        <w:jc w:val="left"/>
        <w:rPr/>
      </w:pPr>
      <w:r>
        <w:rPr>
          <w:rFonts w:ascii="Times New Roman;serif" w:hAnsi="Times New Roman;serif"/>
          <w:b w:val="false"/>
          <w:i/>
          <w:color w:val="000000"/>
          <w:sz w:val="20"/>
        </w:rPr>
        <w:t>In evaluating all forward-looking statements, you should specifically consider the risks outlined above and in this report and our Annual Report on Form 10-K for the year ended December 31, 2024, filed with the SEC on February 25, 2025</w:t>
      </w:r>
      <w:r>
        <w:rPr>
          <w:color w:val="000000"/>
        </w:rPr>
        <w:t xml:space="preserve"> </w:t>
      </w:r>
      <w:r>
        <w:rPr>
          <w:rFonts w:ascii="Times New Roman;serif" w:hAnsi="Times New Roman;serif"/>
          <w:b w:val="false"/>
          <w:i/>
          <w:color w:val="000000"/>
          <w:sz w:val="20"/>
        </w:rPr>
        <w:t>and our Quarterly Report on Form 10-Q for the quarter ended March 31, 2025, filed with the SEC on April 29, 2025, especially under the headings "Special Cautionary Note Regarding Forward-Looking Statements," "Summary of Risk Factors,"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58"/>
        <w:gridCol w:w="2234"/>
        <w:gridCol w:w="2252"/>
        <w:gridCol w:w="249"/>
        <w:gridCol w:w="980"/>
        <w:gridCol w:w="129"/>
        <w:gridCol w:w="129"/>
        <w:gridCol w:w="129"/>
        <w:gridCol w:w="129"/>
        <w:gridCol w:w="249"/>
        <w:gridCol w:w="980"/>
        <w:gridCol w:w="187"/>
      </w:tblGrid>
      <w:tr>
        <w:trPr/>
        <w:tc>
          <w:tcPr>
            <w:tcW w:w="2558"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7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$2,714 and $2,236</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227,507 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including securities measured at fair value of $24,067 and $21,640</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224,861 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239,222 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3161" w:type="dxa"/>
            <w:gridSpan w:val="9"/>
            <w:tcBorders/>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3161" w:type="dxa"/>
            <w:gridSpan w:val="9"/>
            <w:tcBorders/>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authorized shares - 5,000, issued and outstanding - none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authorized shares - 100,000</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shares - 64,322 and 59,560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shares - 57,405 and 53,069</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(740,466)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- 6,917 and 6,491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stockholders of Beyond, Inc.</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358,072 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401,954 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43"/>
        <w:gridCol w:w="1439"/>
        <w:gridCol w:w="14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98"/>
        <w:gridCol w:w="157"/>
      </w:tblGrid>
      <w:tr>
        <w:trPr/>
        <w:tc>
          <w:tcPr>
            <w:tcW w:w="164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stockholders of Beyond,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45"/>
        <w:gridCol w:w="1475"/>
        <w:gridCol w:w="1482"/>
        <w:gridCol w:w="211"/>
        <w:gridCol w:w="772"/>
        <w:gridCol w:w="109"/>
        <w:gridCol w:w="109"/>
        <w:gridCol w:w="109"/>
        <w:gridCol w:w="109"/>
        <w:gridCol w:w="211"/>
        <w:gridCol w:w="772"/>
        <w:gridCol w:w="109"/>
        <w:gridCol w:w="109"/>
        <w:gridCol w:w="109"/>
        <w:gridCol w:w="109"/>
        <w:gridCol w:w="211"/>
        <w:gridCol w:w="772"/>
        <w:gridCol w:w="109"/>
        <w:gridCol w:w="109"/>
        <w:gridCol w:w="109"/>
        <w:gridCol w:w="109"/>
        <w:gridCol w:w="211"/>
        <w:gridCol w:w="877"/>
        <w:gridCol w:w="158"/>
      </w:tblGrid>
      <w:tr>
        <w:trPr/>
        <w:tc>
          <w:tcPr>
            <w:tcW w:w="174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on cash flow hedges, net of expense for taxes of $0, $0, $0, and $0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stockholders of Beyond,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71"/>
        <w:gridCol w:w="1257"/>
        <w:gridCol w:w="12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7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rPr/>
            </w:pPr>
            <w:r>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stockholders of Beyond, Inc.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issued upon vesting of restricted stock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treasury stock</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upon vesting of employee stock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outstanding</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6211" w:type="dxa"/>
            <w:gridSpan w:val="21"/>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stockholders of Beyond, Inc.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6211" w:type="dxa"/>
            <w:gridSpan w:val="21"/>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withholding upon vesting of employee stock awards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stockholders of Beyond,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60"/>
        <w:gridCol w:w="1372"/>
        <w:gridCol w:w="1375"/>
        <w:gridCol w:w="221"/>
        <w:gridCol w:w="869"/>
        <w:gridCol w:w="113"/>
        <w:gridCol w:w="113"/>
        <w:gridCol w:w="113"/>
        <w:gridCol w:w="113"/>
        <w:gridCol w:w="221"/>
        <w:gridCol w:w="869"/>
        <w:gridCol w:w="113"/>
        <w:gridCol w:w="113"/>
        <w:gridCol w:w="113"/>
        <w:gridCol w:w="113"/>
        <w:gridCol w:w="221"/>
        <w:gridCol w:w="869"/>
        <w:gridCol w:w="113"/>
        <w:gridCol w:w="113"/>
        <w:gridCol w:w="113"/>
        <w:gridCol w:w="113"/>
        <w:gridCol w:w="221"/>
        <w:gridCol w:w="869"/>
        <w:gridCol w:w="182"/>
      </w:tblGrid>
      <w:tr>
        <w:trPr/>
        <w:tc>
          <w:tcPr>
            <w:tcW w:w="15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rPr/>
            </w:pPr>
            <w:r>
              <w:rPr/>
            </w:r>
          </w:p>
        </w:tc>
      </w:tr>
      <w:tr>
        <w:trPr/>
        <w:tc>
          <w:tcPr>
            <w:tcW w:w="4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noncontrolling interests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security token offering,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noncontrolling interests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48"/>
        <w:gridCol w:w="1890"/>
        <w:gridCol w:w="1892"/>
        <w:gridCol w:w="208"/>
        <w:gridCol w:w="403"/>
        <w:gridCol w:w="1580"/>
        <w:gridCol w:w="208"/>
        <w:gridCol w:w="208"/>
        <w:gridCol w:w="208"/>
        <w:gridCol w:w="208"/>
        <w:gridCol w:w="211"/>
        <w:gridCol w:w="882"/>
        <w:gridCol w:w="159"/>
      </w:tblGrid>
      <w:tr>
        <w:trPr/>
        <w:tc>
          <w:tcPr>
            <w:tcW w:w="214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953"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1252" w:type="dxa"/>
            <w:gridSpan w:val="3"/>
            <w:tcBorders/>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consolidated net loss to net cash used in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securities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Disbursement for notes receivable</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intangible assets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4275" w:type="dxa"/>
            <w:gridSpan w:val="10"/>
            <w:tcBorders/>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1876" w:type="dxa"/>
            <w:gridSpan w:val="6"/>
            <w:tcBorders/>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 net of offering costs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short-term debt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taxes withheld upon vesting of employee stock awards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208" w:type="dxa"/>
            <w:tcBorders/>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Beyond,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Beyond, Inc. is an ecommerce-focused retailer with an affinity model that owns or has ownership interests in various retail brands, offering a comprehensive array of products and services that enable its customers to enhance everyday life through quality, style, and value. The Company currently owns Bed Bath &amp; Beyond, Overstock, buybuy BABY, and other related brands and websites as well as a blockchain asset portfolio.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used herein, "Beyond," "the Company," "we," "our" and similar terms include Beyond, Inc. and its controlled subsidiaries, unless the context indicates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the audited annual consolidated financial statements and related notes included in the Company's Annual Report on Form 10-K for the year ended December 31, 2024. There have been no significant changes to the Company's significant accounting policies disclosed in Note 2—Accounting Policies and Supplemental Disclosures, included in Part II, Item 8, Financial Statements and Supplementary Data, of the Company's Annual Report on Form 10-K for the year ended December 31, 2024, except as disclosed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Company's accounts and the accounts of the Company's wholly-owned subsidiaries and other subsidiaries for which the Company exercises control, and reflect all adjustments, consisting only of normal recurring adjustments, which are, in the Company's opinion, necessary for a fair presentation of results for the interim periods presented. All intercompany account balances and transactions have been eliminated in consolidation. The results of operations for the three and six months ended June 30, 2025, are not necessarily indicative of the results to be expected for any future period or the full fiscal year, due to seasonality and other factors.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the Company's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the Company's best knowledge of current events and actions that the Company may undertake in the future, the accounting of these estimates may change from period to period. To the extent there are differences between these estimates and actual results, the Company's consolidated financial statements may be materially affected.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Company's controlled subsidiary, Commercial Strategies, Inc. ("Commercial Strategies"), launched a crowdfunding offering (the "token offering") of the right to acquire a tokenized digital security linked to Overstock intellectual property and eligible for future dividends, if any, from the licensing revenue that Commercial Strategies earns from the Overstock intellectual property. The token offering closed on May 16, 2025, and Commercial Strategies issued the tokenized digital security in the form of Series A Preferred Stock. The holders of the preferred shares will be entitled to receive, out of funds and assets legally available therefor, an annual dividend that is derived from the royalty fee paid by Beyond, Inc. to Commercial Strategies for licensing of the Overstock intellectual property. The holders of the preferred stock have no voting rights. At June 30, 2025, cumulative proceeds from the token offering totaled $467,000, have been classified as a component of noncontrolling interest within the consolidated financial statements. As of June 30, 2025, Commercial Strategies has incurred $106,000 of offering costs associated with the token offering that are classified as a reduction in proceeds within noncontrolling interest within the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securities carried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7, 2025, the Company entered into an Amended and Restated Term Loan Credit Agreement (the "Amended and Restated Credit Agreement"), which amended and restated the secured Term Loan Credit Agreement ("Existing Credit Agreement") entered on October 21, 2024 and pursuant to which the Company provided Kirkland's Inc. ("Kirkland's) with an additional term loan in an approximate aggregate original principal amount of $5.2 million (the "Additional Term Loan") and obligations arising under the Existing Credit Agreement in the aggregate amount of $8.5 million were rolled into the Amended and Restated Credit Agreement as obligations thereunder. The Amended and Restated Credit Agreement also provides the Company the right to convert the outstanding loans owing under the Amended and Restated Credit Agreement into shares of Kirkland's common stock at a price equal to the closing price on the Nasdaq Stock Market LLC ("Nasdaq") on the day prior to the date on which a conversion election is made, up to a number of shares equal to 19.90% of the outstanding shares of Kirkland's common stock on the date the Amended and Restated Credit Agreement was entered into, and up to a greater number of shares subject to Nasdaq shareholder approval rules. Beyond is restricted from holding 65% of outstanding or more of Kirkland's' issued shares for so long as any obligations remain outstanding under Kirkland's' credit agreement with its senior lender, Bank of America, N.A.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 Amended and Restated Credit Agreement, the Company remeasured the $8.5 million term loan at fair value as of May 12, 2025, and recorded an unrealized loss of $406,000 which is recorded in Other income (expense), net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This ASU will result in the Company including the additional required disclosures when adopted and does not otherwise have a material impact on the Company's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w:t>
      </w:r>
      <w:r>
        <w:rPr>
          <w:color w:val="000000"/>
        </w:rPr>
        <w:t>—</w:t>
      </w:r>
      <w:r>
        <w:rPr>
          <w:rFonts w:ascii="Times New Roman;serif" w:hAnsi="Times New Roman;serif"/>
          <w:b w:val="false"/>
          <w:i/>
          <w:color w:val="000000"/>
          <w:sz w:val="20"/>
        </w:rPr>
        <w:t>Reporting Comprehensive Income—Expense Disaggregation Disclosures (Subtopic 220-40)</w:t>
      </w:r>
      <w:r>
        <w:rPr>
          <w:rFonts w:ascii="Times New Roman;serif" w:hAnsi="Times New Roman;serif"/>
          <w:b w:val="false"/>
          <w:color w:val="000000"/>
          <w:sz w:val="20"/>
        </w:rPr>
        <w:t>, which requires public entities to disclose disaggregated information about certain income statement line items in the notes to the financial statements. For public entities, ASU 2024-03 is required to be adopted for annual periods beginning after December 15, 2026, and for interim periods beginning after December 15, 2027, with early adoption permitted. This ASU will result in the Company including the additional required disclosures when adopted and does not otherwise have a material impact on the Company's consolidated financial statements.</w:t>
      </w:r>
      <w:r>
        <w:rPr>
          <w:color w:val="000000"/>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3. FAIR VALUE MEASUREMENT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assets and liabilities measured at fair value on a recurring basis using the following levels of inputs (in thousands):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June 30, 2025</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2024</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Included in Other long-term assets, net in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activity for the Company's Level 3 investments (in thousands):</w:t>
      </w:r>
    </w:p>
    <w:tbl>
      <w:tblPr>
        <w:tblW w:w="5150" w:type="dxa"/>
        <w:jc w:val="center"/>
        <w:tblInd w:w="0" w:type="dxa"/>
        <w:tblLayout w:type="fixed"/>
        <w:tblCellMar>
          <w:top w:w="28" w:type="dxa"/>
          <w:left w:w="28" w:type="dxa"/>
          <w:bottom w:w="28" w:type="dxa"/>
          <w:right w:w="28" w:type="dxa"/>
        </w:tblCellMar>
      </w:tblPr>
      <w:tblGrid>
        <w:gridCol w:w="1472"/>
        <w:gridCol w:w="1294"/>
        <w:gridCol w:w="1298"/>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purchases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of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purchases of Level 3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Transfers out of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fair value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net on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4. PROPERTY AND EQUIPMENT,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94"/>
        <w:gridCol w:w="2361"/>
        <w:gridCol w:w="2374"/>
        <w:gridCol w:w="211"/>
        <w:gridCol w:w="826"/>
        <w:gridCol w:w="109"/>
        <w:gridCol w:w="109"/>
        <w:gridCol w:w="109"/>
        <w:gridCol w:w="109"/>
        <w:gridCol w:w="230"/>
        <w:gridCol w:w="904"/>
        <w:gridCol w:w="169"/>
      </w:tblGrid>
      <w:tr>
        <w:trPr/>
        <w:tc>
          <w:tcPr>
            <w:tcW w:w="269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 including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9989" w:type="dxa"/>
        <w:jc w:val="center"/>
        <w:tblInd w:w="0" w:type="dxa"/>
        <w:tblLayout w:type="fixed"/>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classified within the corresponding operating expense categories on the consolidated statements of operations as follows (in thousands): </w:t>
      </w:r>
    </w:p>
    <w:tbl>
      <w:tblPr>
        <w:tblW w:w="7079" w:type="dxa"/>
        <w:jc w:val="center"/>
        <w:tblInd w:w="0" w:type="dxa"/>
        <w:tblLayout w:type="fixed"/>
        <w:tblCellMar>
          <w:top w:w="28" w:type="dxa"/>
          <w:left w:w="28" w:type="dxa"/>
          <w:bottom w:w="28" w:type="dxa"/>
          <w:right w:w="28" w:type="dxa"/>
        </w:tblCellMar>
      </w:tblPr>
      <w:tblGrid>
        <w:gridCol w:w="836"/>
        <w:gridCol w:w="734"/>
        <w:gridCol w:w="73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INTANGIBLE ASSETS,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30, 2025, the Company entered into an Asset Purchase Agreement with BBBY Acquisition Co., LLC ("BBBY") to acquire certain intellectual property related to the buybuy BABY brand and closed the transaction on February 21, 2025. The Company acquired BBBY’s rights in the buybuy BABY brand, assets, information and content related to the associated buybuy BABY website, including trademarks, domain names, data, information, content, and select contractual rights, and goodwill associated with the brand for a total purchase price of $5.0 million which was paid at closing, and the assumption of certain contractual liabilities described therein. The aggregate purchase price, inclusive of contractual liabilities assumed and direct acquisition-related expenses, totaled $7.1 million which has been allocated to trade names, with an indefinite useful life.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17, 2025, the Company entered into an Intellectual Property Asset Purchase Agreement with Lyons Trading Company, the operator of Proozy.com, to sell its rights in the Zulily brand for a total sales price of $5.0 million while retaining a 25% ownership stake in the brand in the form of a newly created entity ("Zulily Newco"). In connection with this transaction, the Company received $1.25 million upfront and will receive the remaining $3.75 million in quarterly installments commencing on April 30, 2026, over the course of five years, which is recorded as a long-term receivable and included in Other long-term assets, net in the consolidated balance sheets. The Company also recognized $1.57 million, which represents its 25% ownership stake in Zulily Newco, and is included in Equity securities in the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the Company entered into a Trademark and Domain Name Agreement with a large, well-established Canadian retailer to sell certain intellectual property related to the Bed Bath &amp; Beyond trademarks in Canada and the United Kingdom, which was acquired as part of its purchase of the Bed Bath &amp; Beyond brand in June 2023, for a total sales price of $5.0 million, which is included in Accounts receivable, net of allowance for credit losses in the consolidated balance sheets, and revenue share payments to be paid to the Company in perpetuity. In July 2025, the Company received the $5.0 million cash proceeds. For the three and six months ended June 30, 2025, the Company recognized the entire $5.0 million as a gain on the sale which is included in Other income (expense), net in the consolidated statements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 of the following (in thousands):</w:t>
      </w:r>
    </w:p>
    <w:tbl>
      <w:tblPr>
        <w:tblW w:w="6977" w:type="dxa"/>
        <w:jc w:val="left"/>
        <w:tblInd w:w="0" w:type="dxa"/>
        <w:tblLayout w:type="fixed"/>
        <w:tblCellMar>
          <w:top w:w="28" w:type="dxa"/>
          <w:left w:w="28" w:type="dxa"/>
          <w:bottom w:w="28" w:type="dxa"/>
          <w:right w:w="28" w:type="dxa"/>
        </w:tblCellMar>
      </w:tblPr>
      <w:tblGrid>
        <w:gridCol w:w="1559"/>
        <w:gridCol w:w="1369"/>
        <w:gridCol w:w="1376"/>
        <w:gridCol w:w="211"/>
        <w:gridCol w:w="721"/>
        <w:gridCol w:w="109"/>
        <w:gridCol w:w="109"/>
        <w:gridCol w:w="109"/>
        <w:gridCol w:w="109"/>
        <w:gridCol w:w="253"/>
        <w:gridCol w:w="867"/>
        <w:gridCol w:w="185"/>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gross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At June 30, 2025, the weighted average remaining useful life for intangible assets subject to amortization, gross was 2.8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securities consist of the following (in thousands):</w:t>
      </w:r>
    </w:p>
    <w:tbl>
      <w:tblPr>
        <w:tblW w:w="9557" w:type="dxa"/>
        <w:jc w:val="left"/>
        <w:tblInd w:w="0" w:type="dxa"/>
        <w:tblLayout w:type="fixed"/>
        <w:tblCellMar>
          <w:top w:w="28" w:type="dxa"/>
          <w:left w:w="28" w:type="dxa"/>
          <w:bottom w:w="28" w:type="dxa"/>
          <w:right w:w="28" w:type="dxa"/>
        </w:tblCellMar>
      </w:tblPr>
      <w:tblGrid>
        <w:gridCol w:w="2493"/>
        <w:gridCol w:w="2192"/>
        <w:gridCol w:w="2199"/>
        <w:gridCol w:w="211"/>
        <w:gridCol w:w="721"/>
        <w:gridCol w:w="109"/>
        <w:gridCol w:w="109"/>
        <w:gridCol w:w="109"/>
        <w:gridCol w:w="109"/>
        <w:gridCol w:w="253"/>
        <w:gridCol w:w="867"/>
        <w:gridCol w:w="185"/>
      </w:tblGrid>
      <w:tr>
        <w:trPr/>
        <w:tc>
          <w:tcPr>
            <w:tcW w:w="249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equity method under ASC 323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equity method under the fair value option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equity securities accounted for under the equity method under ASC 323 include equity securities in which the Company can exercise significant influence, but not control, over these entities through holding more than a 20% voting interest in the entity. During the six months ended June 30, 2025, after stockholder approval was obtained from Kirkland's, Inc. ("Kirkland's") stockholders, the Company funded the additional $8.0 million investment in Kirkland's in exchange for Kirkland's common stock and converted the $8.5 million convertible promissory note (plus accrued interest) into shares of Kirkland's common stock. After all transactions, the Company owns approximately 40% of Kirkland's outstanding shares of common stock. In addition, as part of the sale of the Company's rights in the Zulily brand, the Company retained a 25% ownership stake in the brand in the form of a newly created entity, Zulily Newco. See Note 5—Intangible Assets, net, for further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Company's equity securities accounted for under the equity method and related ownership interest as of June 30, 2025:</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SpeedRoute, LLC</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Kirkland's,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Zulily Newco</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Company's equity method securities was $71.6 million at June 30, 2025, which is included in Equity securities on the consolidated balance sheets, of which $24.1 million was valued under the fair value option (tZERO, SpeedRoute, Kirkland's, and Zulily Newco). Equity securities in Kirkland's are carried at fair value based on Level 1 inputs. The aggregate fair value of the equity securities in Kirkland's at June 30, 2025, was $9.6 million. For the equity method investments, there was no difference in the carrying amount of the assets and liabilities and the maximum exposure to loss, and there was no difference between the carrying amount of the investment in Medici Ventures, L.P., and the amount of underlying equity the Company has in the entity's net assets.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loss recognized on equity method securities recorded in Other income (expense), net in the consolidated statements of operations (in thousands):</w:t>
      </w:r>
    </w:p>
    <w:tbl>
      <w:tblPr>
        <w:tblW w:w="10205" w:type="dxa"/>
        <w:jc w:val="center"/>
        <w:tblInd w:w="0" w:type="dxa"/>
        <w:tblLayout w:type="fixed"/>
        <w:tblCellMar>
          <w:top w:w="28" w:type="dxa"/>
          <w:left w:w="28" w:type="dxa"/>
          <w:bottom w:w="28" w:type="dxa"/>
          <w:right w:w="28" w:type="dxa"/>
        </w:tblCellMar>
      </w:tblPr>
      <w:tblGrid>
        <w:gridCol w:w="1857"/>
        <w:gridCol w:w="1632"/>
        <w:gridCol w:w="1636"/>
        <w:gridCol w:w="211"/>
        <w:gridCol w:w="666"/>
        <w:gridCol w:w="109"/>
        <w:gridCol w:w="109"/>
        <w:gridCol w:w="109"/>
        <w:gridCol w:w="109"/>
        <w:gridCol w:w="211"/>
        <w:gridCol w:w="666"/>
        <w:gridCol w:w="109"/>
        <w:gridCol w:w="109"/>
        <w:gridCol w:w="109"/>
        <w:gridCol w:w="109"/>
        <w:gridCol w:w="211"/>
        <w:gridCol w:w="666"/>
        <w:gridCol w:w="109"/>
        <w:gridCol w:w="109"/>
        <w:gridCol w:w="109"/>
        <w:gridCol w:w="109"/>
        <w:gridCol w:w="211"/>
        <w:gridCol w:w="771"/>
        <w:gridCol w:w="159"/>
      </w:tblGrid>
      <w:tr>
        <w:trPr/>
        <w:tc>
          <w:tcPr>
            <w:tcW w:w="185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fair value of equity method securities held under fair value option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Regulation S-X Rule 10-01(b)(1)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periods ended June 30, 2025 and 2024, none of the Company's equity method investees met the significance criteria. </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BORROWINGS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will terminate on October 18, 2025, and loans thereunder may be borrowed, repaid, and reborrowed up to such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a $6.5 million outstanding standby letter of credit under the Revolving Note. As of June 30, 2025, the outstanding balance on the line of credit was $18.5 million, net of $39,000 of capitalized debt issuance costs. The total outstanding debt on the line of credit is included in Short-term debt, net on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The Company is in compliance with its debt covenants and continue to monitor ongoing compliance with the debt covenants.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LEASES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space and a data center. The Company's leases have remaining lease terms of two years to eight years, some of which may include options to extend the leases perpetually, and some of which may include options to terminate the leases within one year. Variable lease costs include executory costs, such as taxes, insurance, and maintenance.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6225" w:type="dxa"/>
        <w:jc w:val="center"/>
        <w:tblInd w:w="0" w:type="dxa"/>
        <w:tblLayout w:type="fixed"/>
        <w:tblCellMar>
          <w:top w:w="28" w:type="dxa"/>
          <w:left w:w="28" w:type="dxa"/>
          <w:bottom w:w="28" w:type="dxa"/>
          <w:right w:w="28" w:type="dxa"/>
        </w:tblCellMar>
      </w:tblPr>
      <w:tblGrid>
        <w:gridCol w:w="635"/>
        <w:gridCol w:w="558"/>
        <w:gridCol w:w="562"/>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other information related to leases (in thousands):</w:t>
      </w:r>
    </w:p>
    <w:tbl>
      <w:tblPr>
        <w:tblW w:w="8202" w:type="dxa"/>
        <w:jc w:val="center"/>
        <w:tblInd w:w="0" w:type="dxa"/>
        <w:tblLayout w:type="fixed"/>
        <w:tblCellMar>
          <w:top w:w="28" w:type="dxa"/>
          <w:left w:w="28" w:type="dxa"/>
          <w:bottom w:w="28" w:type="dxa"/>
          <w:right w:w="28" w:type="dxa"/>
        </w:tblCellMar>
      </w:tblPr>
      <w:tblGrid>
        <w:gridCol w:w="2184"/>
        <w:gridCol w:w="1918"/>
        <w:gridCol w:w="1928"/>
        <w:gridCol w:w="278"/>
        <w:gridCol w:w="320"/>
        <w:gridCol w:w="251"/>
        <w:gridCol w:w="143"/>
        <w:gridCol w:w="143"/>
        <w:gridCol w:w="143"/>
        <w:gridCol w:w="278"/>
        <w:gridCol w:w="292"/>
        <w:gridCol w:w="324"/>
      </w:tblGrid>
      <w:tr>
        <w:trP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from lease arrangements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balance sheet information related to leases:</w:t>
      </w:r>
    </w:p>
    <w:tbl>
      <w:tblPr>
        <w:tblW w:w="7391" w:type="dxa"/>
        <w:jc w:val="center"/>
        <w:tblInd w:w="0" w:type="dxa"/>
        <w:tblLayout w:type="fixed"/>
        <w:tblCellMar>
          <w:top w:w="28" w:type="dxa"/>
          <w:left w:w="28" w:type="dxa"/>
          <w:bottom w:w="28" w:type="dxa"/>
          <w:right w:w="28" w:type="dxa"/>
        </w:tblCellMar>
      </w:tblPr>
      <w:tblGrid>
        <w:gridCol w:w="1750"/>
        <w:gridCol w:w="1537"/>
        <w:gridCol w:w="1543"/>
        <w:gridCol w:w="206"/>
        <w:gridCol w:w="206"/>
        <w:gridCol w:w="517"/>
        <w:gridCol w:w="109"/>
        <w:gridCol w:w="109"/>
        <w:gridCol w:w="109"/>
        <w:gridCol w:w="266"/>
        <w:gridCol w:w="266"/>
        <w:gridCol w:w="773"/>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term—operating leases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years</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rate—operating leases</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 under non-cancellable operating leases as of June 30, 2025, are as follows (in thousands):</w:t>
      </w:r>
    </w:p>
    <w:tbl>
      <w:tblPr>
        <w:tblW w:w="399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litigation concerning consumer protection, employment, intellectual property, claims under the securities laws, and other commercial matters related to the conduct and operation of the business and the sale of products on the Company's websites. In connection with such litigation, the Company has been in the past and may be in the future subject to judgments requiring the Company to pay significant damages or associated costs. In some instances, other parties may have contractual indemnification obligations to the Company. However, such contractual obligations may prove unenforceable or non-collectible, and if the Company cannot enforce or collect on indemnification obligations, the Company may bear the full responsibility for damages, fees, and costs resulting from such litigation. As a result of such litigation, the Company may also be subject to penalties and equitable remedies that could force the Company to alter important business practices. Such litigation could be costly and time consuming and could divert or distract the Company's management and key personnel from the business operations. Due to the uncertainty of litigation and depending on the amount and the timing, an unfavorable resolution of some or all of such matters could materially affect the Company's business, results of operations, financial position, or cash flows.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establishes liabilities when a particular contingency is probable and estimable which are included in Accrued liabilities on the consolidated balance sheets. At June 30, 2025 and December 31, 2024, the Company's established liabilities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the Company has made certain indemnities, commitments, and guarantees under which the Company may be required to make payments in relation to certain transactions. These indemnities include, but are not limited to, indemnities to various lessors in connection with facility leases for certain claims arising from such facility or lease, the environmental indemnity the Company entered into in favor of the lenders under its prior loan agreements, customary indemnification arrangements in underwriting agreements and similar agreements, and indemnities to its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the Company could be obligated to make. As such, the Company is unable to estimate with any reasonableness its potential exposure under these items. The Company has not recorded any liability for these indemnities, commitments, and guarantees in the accompanying consolidated balance sheets. The Company does, however, accrue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STOCKHOLDERS' EQUITY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JonesTrading Sales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Company entered into a Capital on Demand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Sales Agreement (the "Sales Agreement") dated June 10, 2024 with JonesTrading Institutional Services LLC ("JonesTrading"), under which the Company has conducted and may in the future conduct "at the market" public offerings of its common stock. Under the Sales Agreement, JonesTrading, acting as the Company's sales agent or principal, may offer the Company's common stock in the market on a daily basis or otherwise as the Company requests from time to time. The Company has no obligation to sell shares under the Sales Agreement, but it may do so from time to time. For the six months ended June 30, 2025, the Company sold 4,331,713 shares of its common stock pursuant to the Sales Agreement and has recognized $24.2 million in proceeds, net of $495,000 of offering costs, including commissions paid to JonesTrading. As of June 30, 2025, the Company had $131.4 million remaining available under its "at the market" sales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repurchased $1.3 million of its common stock under its stock repurchase program at an average price of $3.92 per share. During the three and six months ended June 30, 2024, the Company did not repurchase any shares of its common stock under its stock repurchase program. As of June 30, 2025, the Company had $68.6 million available for future share repurchases under its current repurchase authorization through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equity incentive and compensatory plans that provide for the grant of stock-based awards, including restricted stock and performance shares to employees and board members and provide employees the ability to purchase shares of its common stock through an employee stock purchase plan. Employee accounting applies to equity incentives and compensation granted by the Company to its own employees. When an award is forfeited prior to the vesting date, the Company recognizes an adjustment for the previously recognized expense in the period of the forfeiture.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classified within the corresponding operating expense categories on the consolidated statements of operations as follows (in thousands):</w:t>
      </w:r>
    </w:p>
    <w:tbl>
      <w:tblPr>
        <w:tblW w:w="7619" w:type="dxa"/>
        <w:jc w:val="center"/>
        <w:tblInd w:w="0" w:type="dxa"/>
        <w:tblLayout w:type="fixed"/>
        <w:tblCellMar>
          <w:top w:w="28" w:type="dxa"/>
          <w:left w:w="28" w:type="dxa"/>
          <w:bottom w:w="28" w:type="dxa"/>
          <w:right w:w="28" w:type="dxa"/>
        </w:tblCellMar>
      </w:tblPr>
      <w:tblGrid>
        <w:gridCol w:w="993"/>
        <w:gridCol w:w="873"/>
        <w:gridCol w:w="87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Beyond restricted stock unit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Beyond, Inc. Amended and Restated 2005 Equity Incentive Plan provides for the grant of restricted stock units and other types of equity awards to employees and directors of the Company. The Compensation Committee of the Board of Directors approves grants of restricted stock unit awards to the Company's officers, board members and employees. These restricted stock unit awards generally vest over three years at 33.3% at the end of the first year, 33.3% at the end of the second year and 33.4% at the end of the third year, subject to the recipient's continuing service to us. In addition to the Company's traditional equity awards, in fiscal year 2024, the Company changed its vesting schedule for restricted stock units from three years to four years for all restricted stock units granted to employees. These restricted stock unit awards will vest at 25% each year. In the first quarter of fiscal year 2025, the Company adjusted back to the prior vesting schedule of a three-year vesting schedule.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of restricted stock units is determined using the fair value of the Company's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granted 780,709 performance-based shares ("PSUs") to its executive management team under the 2025 performance share award agreement. Each grant of PSUs is eligible to vest based on achieving three performance metrics, with 50% of the target number of PSUs multiplied by the Adjusted EBITDA Performance Multiplier, 25% of the target number of PSUs multiplied by the Gross Margin Performance Multiplier, and 25% of the target number of PSUs multiplied by the Contribution Margin Performance Multiplier, with the potential weighted average maximum payout of 135% of the "Target" number of PSUs. To the extent any of the PSUs become earned based on the Company's achievement of the three aforementioned performance metrics, such earned PSUs will vest as to one-third of the earned PSUs on each of the first, second, and third anniversaries of the grant date, subject to the recipient’s continued service through the vesting date. To be eligible to vest in any tranche of the PSUs, the Company must meet the threshold performance metrics established for the performance period. Expense is recognized as compensation cost based on the fair value on the date of grant over the performance period, taking into account the probability that the Company will satisfy the performance goals.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PSUs is included in the stock-based compensation expense table above combined with the expense associated with the Company's restricted stock units, performance share options, and employee stock purchase plan. Stock-based compensation related to the PSUs was $807,000 and $1.8 million for the three months ended June 30, 2025 and 2024, respectively, and a credit of $1.3 million due to staff related reductions and $3.3 million, for the six months ended June 30, 2025 and 2024,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Share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Performance Share Option is included in stock-based compensation expense table above combined with the expense associated with the Company's restricted stock units, PSUs, and employee stock purchase plan. Stock-based compensation related to the performance share options was $842,000 and $438,000 for the three months ended June 30, 2025 and 2024, respectively, and $1.8 million and $438,000 for the six months ended June 30, 2025 and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PSU, and Performance Share Option award activity (in thousands, except per share data):</w:t>
      </w:r>
    </w:p>
    <w:tbl>
      <w:tblPr>
        <w:tblW w:w="4979" w:type="dxa"/>
        <w:jc w:val="left"/>
        <w:tblInd w:w="0" w:type="dxa"/>
        <w:tblLayout w:type="fixed"/>
        <w:tblCellMar>
          <w:top w:w="28" w:type="dxa"/>
          <w:left w:w="28" w:type="dxa"/>
          <w:bottom w:w="28" w:type="dxa"/>
          <w:right w:w="28" w:type="dxa"/>
        </w:tblCellMar>
      </w:tblPr>
      <w:tblGrid>
        <w:gridCol w:w="999"/>
        <w:gridCol w:w="879"/>
        <w:gridCol w:w="882"/>
        <w:gridCol w:w="308"/>
        <w:gridCol w:w="308"/>
        <w:gridCol w:w="181"/>
        <w:gridCol w:w="109"/>
        <w:gridCol w:w="109"/>
        <w:gridCol w:w="109"/>
        <w:gridCol w:w="235"/>
        <w:gridCol w:w="688"/>
        <w:gridCol w:w="172"/>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fair value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under the 2021 Employee Stock Purchase Plan (the "ESPP") during the six months ended June 30, 2025 and 2024 were 90,921 shares and 56,575 shares, respectively, at an average purchase price per share of $5.43 and $16.53, respectively. At June 30, 2025, approximately 2.6 million shares of common stock remained available under the ESPP.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ESPP is included in the stock-based compensation expense table above combined with the expense associated with the Company's restricted stock units, PSUs, and performance share options. Stock-based compensation related to the ESPP was $234,000 and $305,000 for the three months ended June 30, 2025 and 2024, respectively, and $396,000 and $651,000 for the six months ended June 30, 2025 and 2024,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13. REVENUE AND CONTRACT LIABILITY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Unearned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Layout w:type="fixed"/>
        <w:tblCellMar>
          <w:top w:w="28" w:type="dxa"/>
          <w:left w:w="28" w:type="dxa"/>
          <w:bottom w:w="28" w:type="dxa"/>
          <w:right w:w="28" w:type="dxa"/>
        </w:tblCellMar>
      </w:tblPr>
      <w:tblGrid>
        <w:gridCol w:w="2046"/>
        <w:gridCol w:w="1798"/>
        <w:gridCol w:w="1811"/>
        <w:gridCol w:w="211"/>
        <w:gridCol w:w="721"/>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December 31, 2024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deferral of revenue at period end,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beginning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unearned revenue related to outstanding loyalty program rewards was $6.1 million and $11.1 million at June 30, 2025 and December 31, 2024, respectively. Breakage income related to loyalty program rewards and gift cards is recognized in Net revenue in the consolidated statements of operations. Breakage included in revenue was $1.1 million and $2.1 million for the three months ended June 30, 2025 and 2024, respectively, and $7.7 million and $3.4 million for the six months ended June 30, 2025 and 2024, respectively. The timing of revenue recognition of these reward dollars is driven by actual customer activities, such as redemptions and expirations. At June 30, 2025 and December 31, 2024, the Company had an additional $0 and $4.6 million, respectively, of unearned contract revenue classified within Other long-term liabilities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additions to and deductions from the sales returns allowance, which is included in the Accrued liabilities balance in the consolidated balance sheets (in thousands):</w:t>
      </w:r>
    </w:p>
    <w:tbl>
      <w:tblPr>
        <w:tblW w:w="4728" w:type="dxa"/>
        <w:jc w:val="center"/>
        <w:tblInd w:w="0" w:type="dxa"/>
        <w:tblLayout w:type="fixed"/>
        <w:tblCellMar>
          <w:top w:w="28" w:type="dxa"/>
          <w:left w:w="28" w:type="dxa"/>
          <w:bottom w:w="28" w:type="dxa"/>
          <w:right w:w="28" w:type="dxa"/>
        </w:tblCellMar>
      </w:tblPr>
      <w:tblGrid>
        <w:gridCol w:w="1331"/>
        <w:gridCol w:w="1168"/>
        <w:gridCol w:w="1175"/>
        <w:gridCol w:w="229"/>
        <w:gridCol w:w="67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December 31,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allowance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the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December 31,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the allowance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June 30, 2025</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14. NET LOSS PER SHARE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common share for the periods indicated (in thousands, except per share data):</w:t>
      </w:r>
    </w:p>
    <w:tbl>
      <w:tblPr>
        <w:tblW w:w="10205" w:type="dxa"/>
        <w:jc w:val="center"/>
        <w:tblInd w:w="0" w:type="dxa"/>
        <w:tblLayout w:type="fixed"/>
        <w:tblCellMar>
          <w:top w:w="28" w:type="dxa"/>
          <w:left w:w="28" w:type="dxa"/>
          <w:bottom w:w="28" w:type="dxa"/>
          <w:right w:w="28" w:type="dxa"/>
        </w:tblCellMar>
      </w:tblPr>
      <w:tblGrid>
        <w:gridCol w:w="1697"/>
        <w:gridCol w:w="1469"/>
        <w:gridCol w:w="1485"/>
        <w:gridCol w:w="211"/>
        <w:gridCol w:w="785"/>
        <w:gridCol w:w="109"/>
        <w:gridCol w:w="109"/>
        <w:gridCol w:w="109"/>
        <w:gridCol w:w="109"/>
        <w:gridCol w:w="211"/>
        <w:gridCol w:w="785"/>
        <w:gridCol w:w="109"/>
        <w:gridCol w:w="109"/>
        <w:gridCol w:w="109"/>
        <w:gridCol w:w="109"/>
        <w:gridCol w:w="211"/>
        <w:gridCol w:w="785"/>
        <w:gridCol w:w="109"/>
        <w:gridCol w:w="109"/>
        <w:gridCol w:w="109"/>
        <w:gridCol w:w="109"/>
        <w:gridCol w:w="211"/>
        <w:gridCol w:w="890"/>
        <w:gridCol w:w="157"/>
      </w:tblGrid>
      <w:tr>
        <w:trPr/>
        <w:tc>
          <w:tcPr>
            <w:tcW w:w="169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stockholders of Beyond,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outstanding—basic</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outstanding—diluted</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of common stock:</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were excluded from the calculation of diluted shares outstanding as their effect would have been anti-dilutive (in thousands):</w:t>
      </w:r>
    </w:p>
    <w:tbl>
      <w:tblPr>
        <w:tblW w:w="9666" w:type="dxa"/>
        <w:jc w:val="center"/>
        <w:tblInd w:w="0" w:type="dxa"/>
        <w:tblLayout w:type="fixed"/>
        <w:tblCellMar>
          <w:top w:w="28" w:type="dxa"/>
          <w:left w:w="28" w:type="dxa"/>
          <w:bottom w:w="28" w:type="dxa"/>
          <w:right w:w="28" w:type="dxa"/>
        </w:tblCellMar>
      </w:tblPr>
      <w:tblGrid>
        <w:gridCol w:w="1788"/>
        <w:gridCol w:w="1569"/>
        <w:gridCol w:w="1578"/>
        <w:gridCol w:w="308"/>
        <w:gridCol w:w="308"/>
        <w:gridCol w:w="201"/>
        <w:gridCol w:w="201"/>
        <w:gridCol w:w="201"/>
        <w:gridCol w:w="201"/>
        <w:gridCol w:w="308"/>
        <w:gridCol w:w="308"/>
        <w:gridCol w:w="201"/>
        <w:gridCol w:w="109"/>
        <w:gridCol w:w="109"/>
        <w:gridCol w:w="109"/>
        <w:gridCol w:w="308"/>
        <w:gridCol w:w="308"/>
        <w:gridCol w:w="176"/>
        <w:gridCol w:w="172"/>
        <w:gridCol w:w="172"/>
        <w:gridCol w:w="172"/>
        <w:gridCol w:w="308"/>
        <w:gridCol w:w="308"/>
        <w:gridCol w:w="243"/>
      </w:tblGrid>
      <w:tr>
        <w:trPr/>
        <w:tc>
          <w:tcPr>
            <w:tcW w:w="178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PSUs, and Performance Share Option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BUSINESS SEGMENTS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Operations: The Company currently has one reportable segment, which is its Retail business. The reportable segment is comprised of the Company's Overstock.com operating segment and its Bed, Bath &amp; Beyond operating segment, which are aggregated into a single reportable Retail segment due to their similar economic characteristics and business activities. The Bed Bath &amp; Beyond operating segment includes results from its buybuy BABY brand, which are not material to the business. The reporting segment primarily derives revenues from e-commerce sales of home furnishing merchandise through the Company's suite of websites and mobile apps.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Retail segment are the same as those described in the summary of significant accounting policies. The Chief Operating Decision Maker (CODM), who is the Company's Principal Executive Officer, makes resource allocation decisions based on reports that focus predominantly on Net Revenues, Gross Profit, Sales and Marketing as a percentage of Gross Profit, Technology, and General &amp; Administrative expenses as a percentage of Gross Profit, as well as Operating Income (Loss) measured under GAAP, as reported on the Consolidated Statement of Operations. The CODM also receives the Consolidated Cash and Cash Equivalents balance as a measure of liquidity as reported on the Consolidated Balance Sheet. The CODM uses Operating Income (Loss) to evaluate income generated from segment resources in deciding whether to reinvest profits into the retail segment or into other parts of the entity, such as to make acquisitions or investments. The CODM also uses Operating Income (Loss) to monitor budget versus actual results. The monitoring of budgeted versus actual results is used in assessing performance of the segment and in establishing bonus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Sales &amp; Marketing, Technology, General &amp; Administrative, and Customer Service and Merchant Fees, as reported on the Consolidated Statement of Operations, are significant expenses evaluated by the Company's CODM. The measure of segments assets is reported on the Consolidated Balance Sheet as Cash and Cash Equivalents.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reconciliation bill, commonly referred to as the One Big Beautiful Bill Act ("OBBBA") was signed into law, which includes a broad range of tax reform provisions that may affect the Company's financial results. The Company is currently evaluating the impact that the OBBBA will have on its consolidated financial statements. The OBBBA is not expected to materially impact the Company's effective tax rate or cash flows in the current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2024, filed with the SEC on February 25,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Beyond, Inc. is an ecommerce-focused retailer with an affinity model that owns or has ownership interests in various retail brands, offering a comprehensive array of products and services that enable its customers to enhance everyday life through quality, style, and value. In addition, we also offer an increasing number of add-on services across our platforms, including warranties, shipping insurance, and installation services. We will also be expanding our loyalty program, Beyond +, to encompass all affiliated entities across our cooperative in order to incentivize customer retention within our growing ecosystem. We currently own Overstock, Bed Bath &amp; Beyond, and buybuy BABY. As used herein, "Beyond," "the Company," "we," "our" and similar terms include Beyond, Inc. and its controlled subsidiaries, unless the context indicates otherwise.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the Bed Bath &amp; Beyond brand, we aim to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The mission of this brand is to achieve category-leading ownership of four distinct rooms of the home: the bedroom, the bathroom, the kitchen, and the patio, and our goal is for the assortment to include not only core legacy categories like bedding and kitchenware, but also adjacent categories like bedroom and outdoor furniture and rugs. Furniture across all rooms continues to play a critical role in our strategy. Leveraging an asset-light supply chain, direct shipping is offered to customers from both our suppliers and third-party logistics providers.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Bed Bath &amp; Beyond's strategic priorities include curating stylish, high-quality assortments to make product selection intuitive and affordable, in addition to enhancing offerings with trusted aspirational brands. Our goal is to transform the customer experience by building trust, creating life-stage experiences, and consistently delivering inspiration, quality, and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the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delight our customers by offering deals on products they will love. Our product assortment includes home categories such as indoor and outdoor furniture, rugs, décor, and lighting, as well as lifestyle categories such as jewelry and watches, apparel and accessories, and designer shoes and handbags.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recent buybuy BABY acquisition allows us to reunite two traditionally related brands, Bed Bath &amp; Beyond and buybuy BABY, and support our customers through key life stage shopping moments.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Commentary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29.1% for the three months ended June 30, 2025, compared to the same period in 2024. This decrease was primarily due to a 34% decrease in orders delivered. The decrease was partially offset by a 7% increase in average order value. The decrease in orders delivered was driven by a decline in website visits influenced in part by a shift in consumer spending preferences and macroeconomic factors impacting consumer sentiment and the home furnishings industry as well as a reduction in overall sales and marketing spend as we focus on improving more efficient traffic channels and refine our assortment. The increase in average order value was largely driven by the seasonality of orders mixing into categories with higher average unit retail price.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decreased 16.5% for the three months ended June 30, 2025, compared to the same period in 2024, primarily due to a decrease in revenue. Gross margin increased to 23.7% for the three months ended June 30, 2025, compared to 20.1% for the same period in 2024, primarily driven by merchandising actions as well as a reduction in carrier costs and return costs.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as a percent of revenue decreased from 16.7% for the three months ended June 30, 2024 to 13.5% for the three months ended June 30, 2025, primarily due to decreased performance marketing expense, brand advertising and improvements in return on advertising spend ("ROAS") and email marketing channel effectiveness.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expenses totaled $23.2 million for the three months ended June 30, 2025, a $4.1 million decrease compared to the three months ended June 30, 2024, primarily due to a reduction in staff-related expenses.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$4.4 million for the three months ended June 30, 2025 compared to the three months ended June 30, 2024, primarily due to a reduction in staff-related expenses and third-party vendor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decreased $5.7 million for the three months ended June 30, 2025 compared to the three months ended June 30, 2024, primarily due to decreased order volume and decreased outsourced labor.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cash and cash equivalents balance decreased from $159.2 million as of December 31, 2024, to $120.6 million as of June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commentary related to macroeconomic trends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June 30, 2025,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Comparisons of Three Months Ended June 30, 2025 to Three Months Ended June 30, 2024, and Six Months Ended June 30, 2025 to Six Months Ended June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 cost of goods sold, 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revenue, cost of goods sold, and gross profit (in thousands):</w:t>
      </w:r>
    </w:p>
    <w:tbl>
      <w:tblPr>
        <w:tblW w:w="9783" w:type="dxa"/>
        <w:jc w:val="center"/>
        <w:tblInd w:w="0" w:type="dxa"/>
        <w:tblLayout w:type="fixed"/>
        <w:tblCellMar>
          <w:top w:w="28" w:type="dxa"/>
          <w:left w:w="28" w:type="dxa"/>
          <w:bottom w:w="28" w:type="dxa"/>
          <w:right w:w="28" w:type="dxa"/>
        </w:tblCellMar>
      </w:tblPr>
      <w:tblGrid>
        <w:gridCol w:w="1275"/>
        <w:gridCol w:w="1124"/>
        <w:gridCol w:w="112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27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29.1% decrease in net revenue for the three months ended June 30, 2025, as compared to the same period in 2024, was primarily due to a 34% decrease in orders delivered. The decrease was partially offset by a 7% increase in average order value. The decrease in orders delivered was driven by a decline in website visits influenced in part by a shift in consumer spending preferences and macroeconomic factors impacting consumer sentiment and the home furnishings industry as well as a reduction in overall sales and marketing spend as we focus on improving more efficient traffic channels and refine our assortment. The increase in average order value was largely driven by the seasonality of orders mixing into categories with higher average unit retail price.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34.1% decrease in net revenue for the six months ended June 30, 2025, as compared to the same period in 2024, was primarily due to a 40% decrease in orders delivered. The decrease was partially offset by a 10% increase in average order value. The decrease in orders delivered was driven by a decline in website visits influenced in part by a shift in consumer spending preferences and macroeconomic factors impacting consumer sentiment and the home furnishings industry as well as a reduction in overall sales and marketing spend as we focus on improving more efficient traffic channels and refine our assortment. The increase in average order value was largely driven by orders mixing into categories with higher average unit retail price.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 net revenues were less than 6% of total net revenues for each of the three and six months ended June 30,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 in estimate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trade barriers including tariffs, inflation, rising interest rates, climate and weather events, or geopolitical events.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3"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66"/>
        <w:gridCol w:w="1200"/>
        <w:gridCol w:w="189"/>
        <w:gridCol w:w="109"/>
        <w:gridCol w:w="109"/>
        <w:gridCol w:w="109"/>
        <w:gridCol w:w="533"/>
        <w:gridCol w:w="1747"/>
        <w:gridCol w:w="389"/>
      </w:tblGrid>
      <w:tr>
        <w:trP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gross margins fluctuate based on factors such as competitive pricing; product costs; discounting; product mix of sales; advertising revenue and our marketing allowance program; and operational and fulfillment costs which include costs incurred to operate and staff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margins for the past six quarterly periods and fiscal year ending 2024 were:</w:t>
      </w:r>
    </w:p>
    <w:tbl>
      <w:tblPr>
        <w:tblW w:w="10193" w:type="dxa"/>
        <w:jc w:val="left"/>
        <w:tblInd w:w="0" w:type="dxa"/>
        <w:tblLayout w:type="fixed"/>
        <w:tblCellMar>
          <w:top w:w="28" w:type="dxa"/>
          <w:left w:w="28" w:type="dxa"/>
          <w:bottom w:w="28" w:type="dxa"/>
          <w:right w:w="28" w:type="dxa"/>
        </w:tblCellMar>
      </w:tblPr>
      <w:tblGrid>
        <w:gridCol w:w="429"/>
        <w:gridCol w:w="377"/>
        <w:gridCol w:w="37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2025 decreased 16.5% compared to the same period in 2024, primarily due to a decrease in revenue. Gross margin increased to 23.7% for the three months ended June 30, 2025, compared to 20.1% for the same period in 2024, primarily driven by merchandising actions as well as a reduction in carrier costs and return costs.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the six months ended June 30, 2025 decreased 19.0% compared to the same period in 2024, primarily due to a decrease in revenue. Gross margin increased to 24.3% for the six months ended June 30, 2025, compared to 19.8% for the same period in 2024, primarily due to merchandising actions as well as a reduction in carrier costs and return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sales and marketing expenses (in thousands):</w:t>
      </w:r>
    </w:p>
    <w:tbl>
      <w:tblPr>
        <w:tblW w:w="10205" w:type="dxa"/>
        <w:jc w:val="center"/>
        <w:tblInd w:w="0" w:type="dxa"/>
        <w:tblLayout w:type="fixed"/>
        <w:tblCellMar>
          <w:top w:w="28" w:type="dxa"/>
          <w:left w:w="28" w:type="dxa"/>
          <w:bottom w:w="28" w:type="dxa"/>
          <w:right w:w="28" w:type="dxa"/>
        </w:tblCellMar>
      </w:tblPr>
      <w:tblGrid>
        <w:gridCol w:w="1598"/>
        <w:gridCol w:w="1327"/>
        <w:gridCol w:w="1336"/>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7"/>
      </w:tblGrid>
      <w:tr>
        <w:trPr/>
        <w:tc>
          <w:tcPr>
            <w:tcW w:w="159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320 basis point decrease in sales and marketing expenses as a percent of net revenue for the three months ended June 30, 2025, as compared to the same period in 2024, was primarily due to decreased performance marketing expense, brand advertising and improvements in return on advertising spend ("ROAS") and email marketing channel effectiveness.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370 basis point decrease in sales and marketing expenses as a percent of net revenue for the six months ended June 30, 2025, as compared to the same period in 2024, was primarily due to decreased performance marketing expense and brand advertising and improvements in the performance of owned marketing channels.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technology expenses (in thousands):</w:t>
      </w:r>
    </w:p>
    <w:tbl>
      <w:tblPr>
        <w:tblW w:w="9918" w:type="dxa"/>
        <w:jc w:val="center"/>
        <w:tblInd w:w="0" w:type="dxa"/>
        <w:tblLayout w:type="fixed"/>
        <w:tblCellMar>
          <w:top w:w="28" w:type="dxa"/>
          <w:left w:w="28" w:type="dxa"/>
          <w:bottom w:w="28" w:type="dxa"/>
          <w:right w:w="28" w:type="dxa"/>
        </w:tblCellMar>
      </w:tblPr>
      <w:tblGrid>
        <w:gridCol w:w="1477"/>
        <w:gridCol w:w="1299"/>
        <w:gridCol w:w="130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$4.1 million decrease in technology expenses for the three months ended June 30, 2025, as compared to the same period in 2024, was primarily due to a reduction in staff-related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$7.0 million decrease in technology expenses for the six months ended June 30, 2025, as compared to the same period in 2024, was primarily due to a reduction in staff-related expenses.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 (in thousands):</w:t>
      </w:r>
    </w:p>
    <w:tbl>
      <w:tblPr>
        <w:tblW w:w="10205" w:type="dxa"/>
        <w:jc w:val="center"/>
        <w:tblInd w:w="0" w:type="dxa"/>
        <w:tblLayout w:type="fixed"/>
        <w:tblCellMar>
          <w:top w:w="28" w:type="dxa"/>
          <w:left w:w="28" w:type="dxa"/>
          <w:bottom w:w="28" w:type="dxa"/>
          <w:right w:w="28" w:type="dxa"/>
        </w:tblCellMar>
      </w:tblPr>
      <w:tblGrid>
        <w:gridCol w:w="1587"/>
        <w:gridCol w:w="1388"/>
        <w:gridCol w:w="139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7"/>
      </w:tblGrid>
      <w:tr>
        <w:trPr/>
        <w:tc>
          <w:tcPr>
            <w:tcW w:w="15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$4.4 million decrease in general and administrative expenses for the three months ended June 30, 2025, as compared to the same period in 2024, was primarily due to a reduction in staff-related expenses and third-party vendor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$10.6 million decrease in general and administrative expenses for the six months ended June 30, 2025, as compared to the same period in 2024 was primarily due to a reduction in staff-related expenses and third-party vendor costs.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service and merchant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customer service and merchant fees (in thousands):</w:t>
      </w:r>
    </w:p>
    <w:tbl>
      <w:tblPr>
        <w:tblW w:w="10205" w:type="dxa"/>
        <w:jc w:val="left"/>
        <w:tblInd w:w="0" w:type="dxa"/>
        <w:tblLayout w:type="fixed"/>
        <w:tblCellMar>
          <w:top w:w="28" w:type="dxa"/>
          <w:left w:w="28" w:type="dxa"/>
          <w:bottom w:w="28" w:type="dxa"/>
          <w:right w:w="28" w:type="dxa"/>
        </w:tblCellMar>
      </w:tblPr>
      <w:tblGrid>
        <w:gridCol w:w="1668"/>
        <w:gridCol w:w="1398"/>
        <w:gridCol w:w="1404"/>
        <w:gridCol w:w="211"/>
        <w:gridCol w:w="616"/>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8"/>
      </w:tblGrid>
      <w:tr>
        <w:trPr/>
        <w:tc>
          <w:tcPr>
            <w:tcW w:w="166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as a percent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$5.7 million decrease in customer service and merchant fees for the three months ended June 30, 2025, as compared to the same period in 2024, was primarily due to decreased order volume and decreased outsourced labor.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$10.3 million decrease in customer service and merchant fees for the six months ended June 30, 2025, as compared to the same period in 2024 was primarily due to decreased order volume and decreased outsourced labor.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$4.3 million unfavorable change in other income (expense), net for the three months ended June 30, 2025, as compared to the same period in 2024, was primarily attributable to a $4.8 million decrease in gains recognized on the sale of intangible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$2.4 million unfavorable change in other income (expense), net for the six months ended June 30, 2025, as compared to the same period in 2024, was primarily attributable to a $4.5 million decrease in gains recognized on the sale of intangible assets, partially offset by a $2.6 million decrease in loss recognized from our equity method securities.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reconciliation bill, or One Big Beautiful Bill Act (the "OBBBA") was signed into law, which includes a broad range of tax reform provisions that may affect the Company's financial results. The OBBBA allows an elective deduction for domestic Research and Development (R&amp;D), a reinstatement of elective 100% first-year bonus depreciation, and a more favorable tax rate on Foreign-derived Deduction Eligible Income, among other provisions. The OBBBA is not currently expected to materially impact the Company's effective tax rate or cash flows in the current fiscal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Our provision for income tax for the three months ended June 30, 2025 and 2024 was $287,000 and $117,000, respectively. The effective tax rate for the three months ended June 30, 2025 and 2024 was (1.5)% and (0.3)%, respectively. Our provision for income tax for the six months ended June 30, 2025 and 2024 was $481,000 and $446,000, respectively. The effective tax rate for the six months ended June 30, 2025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 xml:space="preserve">2024 was (0.8)% and (0.4)%, respectively. Our tax provision and rate differs from the statutory federal income tax rate of 21% primarily due to year-to-date losses on our retail operations for which tax benefits are limited.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quarter we assess on a jurisdictional basis whether it is more likely than not that our deferred tax assets will be realized under ASC Topic 740. 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June 30, 2025, is the cumulative loss position over a three-year period generated by our U.S. retail operations. On the basis of this evaluation, we continue to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We will continue to monitor the need for a valuation allowance against our deferred tax assets on a quarterly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repatriate foreign earnings for use in the United States, the distributions are generally exempt from federal and foreign income taxes but may be subject to certain state taxes. As of June 30, 2025, the cumulative amount of foreign earnings considered permanently reinvested upon which taxes have not been provided, and the corresponding unrecognized deferred tax liability, was not 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taxation in the United States and multiple state and foreign jurisdictions. Tax years beginning in 2020 are subject to examination by taxing authorities, although net operating loss and credit carryforwards from all years are subject to examinations and adjustments for at least three years following the year in which the attributes are used.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stockholders.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our growth, our ability to execute on our business strategy, our ability to realize the benefits of any investment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Current 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existing cash and cash equivalents and accounts receivable, net. At June 30, 2025, we had $120.6 million of cash and cash equivalents and $23.3 million of accounts receivable, net of allowance for credit losses.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a standby letter of credit agreement with BMO Bank N.A. valued at $6.5 million. The letter of credit was issued in favor of one of the Company's payment processors as a financial guarantee in connection with ongoing payment processing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 Sales Agreement dated June 10, 2024 with JonesTrading, under which we have conducted and may in the future conduct "at the market" public offerings of our common stock. Under the Sales Agreement, JonesTrading, acting as our sales agent or principal, may offer our common stock in the market on a daily basis or otherwise as we request from time to time. At June 30, 2025, we had $131.4 million available under our "at the market" sales program. We have no obligation to sell additional shares under the Sales Agreement, but we may do so from time to time. Under the agreement, we will pay JonesTrading up to a 2% sales commission on all sales. For the six months ended June 30, 2025, we sold 4,331,713 shares of our common stock pursuant to the Sales Agreement and have recognized $24.2 million in proceeds, net of $495,000 of offering costs, including commissions paid to JonesTrading.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information is as follows (in thousands):</w:t>
      </w:r>
    </w:p>
    <w:tbl>
      <w:tblPr>
        <w:tblW w:w="5124" w:type="dxa"/>
        <w:jc w:val="center"/>
        <w:tblInd w:w="0" w:type="dxa"/>
        <w:tblLayout w:type="fixed"/>
        <w:tblCellMar>
          <w:top w:w="28" w:type="dxa"/>
          <w:left w:w="28" w:type="dxa"/>
          <w:bottom w:w="28" w:type="dxa"/>
          <w:right w:w="28" w:type="dxa"/>
        </w:tblCellMar>
      </w:tblPr>
      <w:tblGrid>
        <w:gridCol w:w="873"/>
        <w:gridCol w:w="769"/>
        <w:gridCol w:w="773"/>
        <w:gridCol w:w="211"/>
        <w:gridCol w:w="796"/>
        <w:gridCol w:w="109"/>
        <w:gridCol w:w="109"/>
        <w:gridCol w:w="109"/>
        <w:gridCol w:w="109"/>
        <w:gridCol w:w="211"/>
        <w:gridCol w:w="901"/>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provided by:</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$35.1 million of net cash used in operating activities during the six months ended June 30, 2025, was primarily due to loss from operating activities adjusted for non-cash items of $25.3 million and cash used by changes in operating assets and liabilities of $9.8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$110.5 million of net cash used in operating activities during the six months ended June 30, 2024, was primarily due to loss from operating activities adjusted for non-cash items of $80.8 million and cash used by changes in operating assets and liabilities of $29.7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investing activities resulted in a net cash outflow of $20.2 million, primarily due to $8.0 million for purchases of equity securities, $5.2 million for disbursement of notes receivable to Kirkland's, $5.2 million for purchases of intangible assets, and $3.0 million of expenditures for property and equipment, offset by $1.3 million of proceeds received from the sale of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2024, investing activities resulted in a net cash outflow of $3.3 million, primarily due to $8.0 million of expenditures for property and equipment and $6.2 million for purchases of intangible assets, offset by $10.3 million of proceeds received from the sale of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financing activities resulted in a net cash inflow of $16.7 million, primarily due to $24.2 million in net proceeds from the sales of our common stock pursuant to our "at the market" public offering, net of offering costs, offset by $6.5 million payments on short-term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2024, financing activities resulted in a net cash outflow of $2.6 million, primarily due to $3.3 million for payment of taxes withheld upon vesting of employee stock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as of June 30, 2025, and the effect such obligations and commitments are expected to have on our liquidity and cash flow in future periods (in thousands):</w:t>
      </w:r>
    </w:p>
    <w:tbl>
      <w:tblPr>
        <w:tblW w:w="10077" w:type="dxa"/>
        <w:jc w:val="center"/>
        <w:tblInd w:w="0" w:type="dxa"/>
        <w:tblLayout w:type="fixed"/>
        <w:tblCellMar>
          <w:top w:w="28" w:type="dxa"/>
          <w:left w:w="28" w:type="dxa"/>
          <w:bottom w:w="28" w:type="dxa"/>
          <w:right w:w="28" w:type="dxa"/>
        </w:tblCellMar>
      </w:tblPr>
      <w:tblGrid>
        <w:gridCol w:w="1048"/>
        <w:gridCol w:w="922"/>
        <w:gridCol w:w="92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72"/>
        <w:gridCol w:w="1086"/>
        <w:gridCol w:w="192"/>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20" w:type="dxa"/>
            <w:gridSpan w:val="25"/>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future minimum lease payments under non-cancellable operating leases. For information regarding our operating lease obligations, see Note 8—Leases, in the Notes to Unaudited Consolidated Financial Statements included in Item 1, Part I, Financial Statements (Unaudited) of this Quarterly Report on Form 10-Q.</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tax matters, the outcomes of which are uncertain. As of June 30, 2025, accrued tax contingencies were $3.8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Sensitivity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on the revolving line of credit incurred pursuant to the Credit Agreement described herein would accrue based on market rates plus 1.00%, for a one-month interest period; however, we do not expect that any changes in prevailing interest rates will have a material impact on our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equity and debt securities may be subject to fluctuations due to volatility of the stock market in general, investment-specific circumstances, and changes in general economic conditions. At June 30, 2025, the recorded value in equity securities of private and public companies was $71.6 million, of which $9.6 million relates to publicly-traded companies, recorded at fair value, which are subject to market price volatility. At June 30, 2025, $14.4 million of the equity securities and $22.8 million of the debt securities are recorded at fair value using Level 3 inputs. The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53.8% of assets measured at fair value. See Note 3—Fair Value Measurement for further information. For the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that occurred during the quarter ended June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9—Commitments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Any investment in our securities involves a high degree of risk. Please consider the following risk factors and the risk factors previously disclosed in Part 1, Item 1A, "Risk Factors," of our Annual Report on Form 10-K for the year ended December 31, 2024</w:t>
      </w:r>
      <w:r>
        <w:rPr>
          <w:color w:val="000000"/>
        </w:rPr>
        <w:t xml:space="preserve"> </w:t>
      </w:r>
      <w:r>
        <w:rPr>
          <w:rFonts w:ascii="Times New Roman;serif" w:hAnsi="Times New Roman;serif"/>
          <w:b w:val="false"/>
          <w:i/>
          <w:color w:val="000000"/>
          <w:sz w:val="20"/>
        </w:rPr>
        <w:t>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2024, and in any reports we file with the SEC after we file this Form 10-Q, before making any decision to acquire or hold our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set forth below, there are no material changes from the risk factors previously disclosed in Part I, Item 1A, "Risk Factors,"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Tariffs, bans, or other measures or events that increase the effective price of products or limit our ability to access products we or our suppliers, fulfillment partners, or other third parties that import or export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many of our suppliers and fulfillment partners source a large percentage of the products we offer on our Website from China and other countries. Restrictions on international trade, including increased tariffs or other trade barriers are expected to increase the prices of imported products sold on our Website or limit our ability to access products sold on our Website. These factors in turn could reduce consumer demand and impact sales volume. Increased prices and/or supply chain challenges and the unpredictability of applicable trade barriers, including their scope and duration, have had an adverse effect and could in the future have a material adverse effect on our financial results, business and prospects, including due to their impact on general macroeconomic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repurchases of shares of our common stock made during the quarter ended June 30,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6"/>
        <w:gridCol w:w="242"/>
        <w:gridCol w:w="244"/>
        <w:gridCol w:w="109"/>
        <w:gridCol w:w="109"/>
        <w:gridCol w:w="109"/>
        <w:gridCol w:w="656"/>
        <w:gridCol w:w="523"/>
        <w:gridCol w:w="524"/>
        <w:gridCol w:w="109"/>
        <w:gridCol w:w="109"/>
        <w:gridCol w:w="109"/>
        <w:gridCol w:w="353"/>
        <w:gridCol w:w="859"/>
        <w:gridCol w:w="186"/>
        <w:gridCol w:w="109"/>
        <w:gridCol w:w="109"/>
        <w:gridCol w:w="109"/>
        <w:gridCol w:w="868"/>
        <w:gridCol w:w="767"/>
        <w:gridCol w:w="769"/>
        <w:gridCol w:w="109"/>
        <w:gridCol w:w="109"/>
        <w:gridCol w:w="109"/>
        <w:gridCol w:w="507"/>
        <w:gridCol w:w="1741"/>
        <w:gridCol w:w="382"/>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Common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332,694 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332,694 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332,694 </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332,694 </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Disclosure in lieu of reporting on a Current Report on Form 8-K.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Material changes to the procedures by which security holders may recommend nominees to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 Insider trading arrangements and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0"/>
        <w:gridCol w:w="270"/>
        <w:gridCol w:w="271"/>
        <w:gridCol w:w="109"/>
        <w:gridCol w:w="109"/>
        <w:gridCol w:w="109"/>
        <w:gridCol w:w="2490"/>
        <w:gridCol w:w="2478"/>
        <w:gridCol w:w="3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Asset Purchase Agreement, dated June 12, 2023, by and among Overstock.com, Inc., Bed Bath &amp; Beyond Inc. and certain subsidiaries of Bed Bath &amp; Beyond Inc., incorporated by reference to Exhibit 2.1 to the Company's Current Report on Form 8-K filed on June 13,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incorporated by reference to Exhibit 3.1 to the Company's Quarterly Report on Form 10-Q filed on July 29, 2014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 incorporated by reference to Exhibit 3.2 to the Company's Current Report on Form 8-K filed on November 6,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May 24,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Fourth Amended and Restated Bylaws, incorporated by reference to Exhibit 3.2 to the Company's Current Report on Form 8-K filed on May 24,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Indenture, incorporated by reference to Exhibit 4.3 to the Company's Registration Statement on Form S-3ASR filed on June 10,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Term Loan Credit Agreement, dated as of May 7, 2025, by and between Kirkland's Stores, Inc., as Lead Borrower, the Borrowers named therein, the Guarantors named therein, Beyond, Inc., as Administrative Agent and Collateral Agent and the Lenders party thereto, incorporated by reference to Exhibit 10.1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Letter Amendment to Subscription Agreement, dated as of May 7, 2025, by and between Kirkland's, Inc. and Beyond, Inc., incorporated by reference to Exhibit 10.2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Amended and Restated Investor Rights Agreement, dated as of May 7, 2025, by and between Kirkland's, Inc. and Beyond, Inc., incorporated by reference to Exhibit 10.3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Asset Purchase Agreement, dated as of May 7, 2025, by and between Kirkland's, Inc. and Beyond, Inc., incorporated by reference to Exhibit 10.4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and Restated Collaboration Agreement, dated as of May 7, 2025, by and between Kirkland's, Inc. and Beyond, Inc., incorporated by reference to Exhibit 10.5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License Agreement Letter Agreement, dated as of May 7, 2025, by and between Kirkland's, Inc. and Beyond, Inc., incorporated by reference to Exhibit 10.6 to the Company's Current Report on Form 8-K filed on May 12,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Amendment to the Amended and Restated Beyond, Inc. 2005 Equity Incentive Plan, incorporated by reference to Exhibit 10.1 to the Company's Current Report on Form 8-K filed on May 21,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630xexx311.htm">
              <w:r>
                <w:rPr>
                  <w:rStyle w:val="InternetLink"/>
                  <w:rFonts w:ascii="Times New Roman;serif" w:hAnsi="Times New Roman;serif"/>
                  <w:b w:val="false"/>
                  <w:color w:val="0000FF"/>
                  <w:sz w:val="20"/>
                  <w:u w:val="single"/>
                </w:rPr>
                <w:t>Rule 13a-14(a)/15d-14(a)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630xexx312.htm">
              <w:r>
                <w:rPr>
                  <w:rStyle w:val="InternetLink"/>
                  <w:rFonts w:ascii="Times New Roman;serif" w:hAnsi="Times New Roman;serif"/>
                  <w:b w:val="false"/>
                  <w:color w:val="0000FF"/>
                  <w:sz w:val="20"/>
                  <w:u w:val="single"/>
                </w:rPr>
                <w:t>Rule 13a-14(a)/15d-14(a)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630xexx321.htm">
              <w:r>
                <w:rPr>
                  <w:rStyle w:val="InternetLink"/>
                  <w:rFonts w:ascii="Times New Roman;serif" w:hAnsi="Times New Roman;serif"/>
                  <w:b w:val="false"/>
                  <w:color w:val="0000FF"/>
                  <w:sz w:val="20"/>
                  <w:u w:val="single"/>
                </w:rPr>
                <w:t>Section 1350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630xexx322.htm">
              <w:r>
                <w:rPr>
                  <w:rStyle w:val="InternetLink"/>
                  <w:rFonts w:ascii="Times New Roman;serif" w:hAnsi="Times New Roman;serif"/>
                  <w:b w:val="false"/>
                  <w:color w:val="0000FF"/>
                  <w:sz w:val="20"/>
                  <w:u w:val="single"/>
                </w:rPr>
                <w:t>Section 1350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Attached as Exhibit 101 to this report are the following documents formatted in Inline XBRL (Extensible Business Reporting Language): (i) Consolidated Balance Sheets, (ii) Consolidated Statements of Operations, (iii) Consolidated Statements of Comprehensive Loss, (iv) Consolidated Statements of Cash Flows, (v) Consolidated Statements of Stockholders' Equity,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2025, formatted in Inline XBRL (included as Exhibit 101).</w:t>
            </w:r>
          </w:p>
        </w:tc>
      </w:tr>
    </w:tbl>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have been omitted pursuant to Item 601(a)(5) of Regulation S-K. The Reporting Company agrees to furnish supplementally a copy of any omitted schedule or exhibit to the SEC upon request.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fbd462053a74f74b31471b87884677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91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BEYOND,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62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128"/>
        <w:gridCol w:w="1128"/>
        <w:gridCol w:w="15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Adrianne B.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1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pursuant to 18 U.S.C. Section 1350, as adopted pursuant to Section 906 of the Sarbanes-Oxley Act of 2002, as amended, that the Quarterly Report on Form 10-Q of Beyond, Inc. for the quarter ended June 30, 2025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pStyle w:val="TextBody"/>
        <w:bidi w:val="0"/>
        <w:spacing w:lineRule="auto" w:line="288" w:before="0" w:after="0"/>
        <w:jc w:val="left"/>
        <w:rPr>
          <w:color w:val="000000"/>
        </w:rPr>
      </w:pPr>
      <w:r>
        <w:rPr>
          <w:color w:val="000000"/>
        </w:rPr>
        <w:t> </w:t>
      </w:r>
    </w:p>
    <w:tbl>
      <w:tblPr>
        <w:tblW w:w="562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128"/>
        <w:gridCol w:w="1128"/>
        <w:gridCol w:w="15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6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Adrianne B. Lee, certify, pursuant to 18 U.S.C. Section 1350, as adopted pursuant to Section 906 of the Sarbanes-Oxley Act of 2002, as amended, that the Quarterly Report on Form 10-Q of Beyond, Inc. for the quarter ended June 30, 2025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pStyle w:val="TextBody"/>
        <w:bidi w:val="0"/>
        <w:spacing w:lineRule="auto" w:line="288" w:before="0" w:after="0"/>
        <w:jc w:val="left"/>
        <w:rPr>
          <w:color w:val="000000"/>
        </w:rPr>
      </w:pPr>
      <w:r>
        <w:rPr>
          <w:color w:val="000000"/>
        </w:rPr>
        <w:t> </w:t>
      </w:r>
    </w:p>
    <w:tbl>
      <w:tblPr>
        <w:tblW w:w="491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3029505/brhc20054372_ex2-1.htm" TargetMode="External"/><Relationship Id="rId3" Type="http://schemas.openxmlformats.org/officeDocument/2006/relationships/hyperlink" Target="https://www.sec.gov/Archives/edgar/data/1130713/000113071314000051/ex-31certificateofincorpor.htm" TargetMode="External"/><Relationship Id="rId4" Type="http://schemas.openxmlformats.org/officeDocument/2006/relationships/hyperlink" Target="https://www.sec.gov/Archives/edgar/data/1130713/000114036123051490/ef20013966_ex3-2.htm" TargetMode="External"/><Relationship Id="rId5" Type="http://schemas.openxmlformats.org/officeDocument/2006/relationships/hyperlink" Target="https://www.sec.gov/Archives/edgar/data/1130713/000113071324000037/ex31.htm" TargetMode="External"/><Relationship Id="rId6" Type="http://schemas.openxmlformats.org/officeDocument/2006/relationships/hyperlink" Target="https://www.sec.gov/Archives/edgar/data/1130713/000113071324000037/ex32.htm" TargetMode="External"/><Relationship Id="rId7" Type="http://schemas.openxmlformats.org/officeDocument/2006/relationships/hyperlink" Target="https://www.sec.gov/Archives/edgar/data/1130713/000114036124029414/ny20030476x1_ex4-3.htm" TargetMode="External"/><Relationship Id="rId8" Type="http://schemas.openxmlformats.org/officeDocument/2006/relationships/hyperlink" Target="https://www.sec.gov/Archives/edgar/data/1130713/000114036125018409/ef20048777_ex10-1.htm" TargetMode="External"/><Relationship Id="rId9" Type="http://schemas.openxmlformats.org/officeDocument/2006/relationships/hyperlink" Target="https://www.sec.gov/Archives/edgar/data/1130713/000114036125018409/ef20048777_ex10-2.htm" TargetMode="External"/><Relationship Id="rId10" Type="http://schemas.openxmlformats.org/officeDocument/2006/relationships/hyperlink" Target="https://www.sec.gov/Archives/edgar/data/1130713/000114036125018409/ef20048777_ex10-3.htm" TargetMode="External"/><Relationship Id="rId11" Type="http://schemas.openxmlformats.org/officeDocument/2006/relationships/hyperlink" Target="https://www.sec.gov/Archives/edgar/data/1130713/000114036125018409/ef20048777_ex10-4.htm" TargetMode="External"/><Relationship Id="rId12" Type="http://schemas.openxmlformats.org/officeDocument/2006/relationships/hyperlink" Target="https://www.sec.gov/Archives/edgar/data/1130713/000114036125018409/ef20048777_ex10-5.htm" TargetMode="External"/><Relationship Id="rId13" Type="http://schemas.openxmlformats.org/officeDocument/2006/relationships/hyperlink" Target="https://www.sec.gov/Archives/edgar/data/1130713/000114036125018409/ef20048777_ex10-6.htm" TargetMode="External"/><Relationship Id="rId14" Type="http://schemas.openxmlformats.org/officeDocument/2006/relationships/hyperlink" Target="https://www.sec.gov/Archives/edgar/data/1130713/000113071325000045/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17916</Words>
  <Characters>98385</Characters>
  <CharactersWithSpaces>115462</CharactersWithSpaces>
  <Paragraphs>2212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