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1" w:lineRule="exact"/>
        <w:rPr>
          <w:sz w:val="24"/>
          <w:szCs w:val="24"/>
          <w:color w:val="auto"/>
        </w:rPr>
      </w:pPr>
    </w:p>
    <w:p>
      <w:pPr>
        <w:ind w:left="940" w:right="160" w:hanging="568"/>
        <w:spacing w:after="0" w:line="238" w:lineRule="auto"/>
        <w:tabs>
          <w:tab w:leader="none" w:pos="9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100"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4" w:lineRule="exact"/>
        <w:rPr>
          <w:sz w:val="24"/>
          <w:szCs w:val="24"/>
          <w:color w:val="auto"/>
        </w:rPr>
      </w:pPr>
    </w:p>
    <w:p>
      <w:pPr>
        <w:ind w:left="940" w:right="140" w:hanging="568"/>
        <w:spacing w:after="0" w:line="238" w:lineRule="auto"/>
        <w:tabs>
          <w:tab w:leader="none" w:pos="9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9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12"/>
        </w:trPr>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40" w:type="dxa"/>
            <w:vAlign w:val="bottom"/>
            <w:gridSpan w:val="4"/>
          </w:tcPr>
          <w:p>
            <w:pPr>
              <w:jc w:val="center"/>
              <w:ind w:right="3662"/>
              <w:spacing w:after="0"/>
              <w:rPr>
                <w:sz w:val="20"/>
                <w:szCs w:val="20"/>
                <w:color w:val="auto"/>
              </w:rPr>
            </w:pPr>
            <w:r>
              <w:rPr>
                <w:rFonts w:ascii="Times New Roman" w:cs="Times New Roman" w:eastAsia="Times New Roman" w:hAnsi="Times New Roman"/>
                <w:sz w:val="16"/>
                <w:szCs w:val="16"/>
                <w:b w:val="1"/>
                <w:bCs w:val="1"/>
                <w:color w:val="auto"/>
              </w:rPr>
              <w:t>Commission file number: 001-41850</w:t>
            </w:r>
          </w:p>
        </w:tc>
      </w:tr>
      <w:tr>
        <w:trPr>
          <w:trHeight w:val="609"/>
        </w:trPr>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40" w:type="dxa"/>
            <w:vAlign w:val="bottom"/>
            <w:gridSpan w:val="4"/>
          </w:tcPr>
          <w:p>
            <w:pPr>
              <w:jc w:val="center"/>
              <w:ind w:right="3662"/>
              <w:spacing w:after="0"/>
              <w:rPr>
                <w:sz w:val="20"/>
                <w:szCs w:val="20"/>
                <w:color w:val="auto"/>
              </w:rPr>
            </w:pPr>
            <w:r>
              <w:rPr>
                <w:rFonts w:ascii="Times New Roman" w:cs="Times New Roman" w:eastAsia="Times New Roman" w:hAnsi="Times New Roman"/>
                <w:sz w:val="32"/>
                <w:szCs w:val="32"/>
                <w:b w:val="1"/>
                <w:bCs w:val="1"/>
                <w:color w:val="auto"/>
              </w:rPr>
              <w:t>BEYOND, INC.</w:t>
            </w:r>
          </w:p>
        </w:tc>
      </w:tr>
      <w:tr>
        <w:trPr>
          <w:trHeight w:val="234"/>
        </w:trPr>
        <w:tc>
          <w:tcPr>
            <w:tcW w:w="3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34"/>
        </w:trPr>
        <w:tc>
          <w:tcPr>
            <w:tcW w:w="3680" w:type="dxa"/>
            <w:vAlign w:val="bottom"/>
            <w:gridSpan w:val="2"/>
          </w:tcPr>
          <w:p>
            <w:pPr>
              <w:jc w:val="center"/>
              <w:ind w:left="130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40" w:type="dxa"/>
            <w:vAlign w:val="bottom"/>
            <w:gridSpan w:val="3"/>
          </w:tcPr>
          <w:p>
            <w:pPr>
              <w:jc w:val="right"/>
              <w:ind w:right="2362"/>
              <w:spacing w:after="0"/>
              <w:rPr>
                <w:sz w:val="20"/>
                <w:szCs w:val="20"/>
                <w:color w:val="auto"/>
              </w:rPr>
            </w:pPr>
            <w:r>
              <w:rPr>
                <w:rFonts w:ascii="Times New Roman" w:cs="Times New Roman" w:eastAsia="Times New Roman" w:hAnsi="Times New Roman"/>
                <w:sz w:val="16"/>
                <w:szCs w:val="16"/>
                <w:b w:val="1"/>
                <w:bCs w:val="1"/>
                <w:color w:val="auto"/>
              </w:rPr>
              <w:t>87-0634302</w:t>
            </w:r>
          </w:p>
        </w:tc>
      </w:tr>
      <w:tr>
        <w:trPr>
          <w:trHeight w:val="188"/>
        </w:trPr>
        <w:tc>
          <w:tcPr>
            <w:tcW w:w="6240" w:type="dxa"/>
            <w:vAlign w:val="bottom"/>
            <w:gridSpan w:val="4"/>
          </w:tcPr>
          <w:p>
            <w:pPr>
              <w:jc w:val="center"/>
              <w:ind w:right="1106"/>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940" w:type="dxa"/>
            <w:vAlign w:val="bottom"/>
            <w:gridSpan w:val="3"/>
          </w:tcPr>
          <w:p>
            <w:pPr>
              <w:jc w:val="center"/>
              <w:ind w:right="642"/>
              <w:spacing w:after="0"/>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247"/>
        </w:trPr>
        <w:tc>
          <w:tcPr>
            <w:tcW w:w="3680" w:type="dxa"/>
            <w:vAlign w:val="bottom"/>
            <w:gridSpan w:val="2"/>
          </w:tcPr>
          <w:p>
            <w:pPr>
              <w:jc w:val="center"/>
              <w:ind w:left="1301"/>
              <w:spacing w:after="0"/>
              <w:rPr>
                <w:sz w:val="20"/>
                <w:szCs w:val="20"/>
                <w:color w:val="auto"/>
              </w:rPr>
            </w:pPr>
            <w:r>
              <w:rPr>
                <w:rFonts w:ascii="Times New Roman" w:cs="Times New Roman" w:eastAsia="Times New Roman" w:hAnsi="Times New Roman"/>
                <w:sz w:val="16"/>
                <w:szCs w:val="16"/>
                <w:b w:val="1"/>
                <w:bCs w:val="1"/>
                <w:color w:val="auto"/>
                <w:w w:val="99"/>
              </w:rPr>
              <w:t>799 West Coliseum Way</w:t>
            </w:r>
          </w:p>
        </w:tc>
        <w:tc>
          <w:tcPr>
            <w:tcW w:w="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tcPr>
          <w:p>
            <w:pPr>
              <w:spacing w:after="0"/>
              <w:rPr>
                <w:sz w:val="21"/>
                <w:szCs w:val="21"/>
                <w:color w:val="auto"/>
              </w:rPr>
            </w:pPr>
          </w:p>
        </w:tc>
      </w:tr>
      <w:tr>
        <w:trPr>
          <w:trHeight w:val="216"/>
        </w:trPr>
        <w:tc>
          <w:tcPr>
            <w:tcW w:w="3680" w:type="dxa"/>
            <w:vAlign w:val="bottom"/>
            <w:gridSpan w:val="2"/>
          </w:tcPr>
          <w:p>
            <w:pPr>
              <w:jc w:val="center"/>
              <w:ind w:left="1281"/>
              <w:spacing w:after="0"/>
              <w:rPr>
                <w:sz w:val="20"/>
                <w:szCs w:val="20"/>
                <w:color w:val="auto"/>
              </w:rPr>
            </w:pPr>
            <w:r>
              <w:rPr>
                <w:rFonts w:ascii="Times New Roman" w:cs="Times New Roman" w:eastAsia="Times New Roman" w:hAnsi="Times New Roman"/>
                <w:sz w:val="16"/>
                <w:szCs w:val="16"/>
                <w:b w:val="1"/>
                <w:bCs w:val="1"/>
                <w:color w:val="auto"/>
                <w:w w:val="99"/>
              </w:rPr>
              <w:t>Midvale</w:t>
            </w: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3"/>
        </w:trPr>
        <w:tc>
          <w:tcPr>
            <w:tcW w:w="3680" w:type="dxa"/>
            <w:vAlign w:val="bottom"/>
            <w:gridSpan w:val="2"/>
          </w:tcPr>
          <w:p>
            <w:pPr>
              <w:jc w:val="center"/>
              <w:ind w:left="1301"/>
              <w:spacing w:after="0"/>
              <w:rPr>
                <w:sz w:val="20"/>
                <w:szCs w:val="20"/>
                <w:color w:val="auto"/>
              </w:rPr>
            </w:pPr>
            <w:r>
              <w:rPr>
                <w:rFonts w:ascii="Times New Roman" w:cs="Times New Roman" w:eastAsia="Times New Roman" w:hAnsi="Times New Roman"/>
                <w:sz w:val="16"/>
                <w:szCs w:val="16"/>
                <w:b w:val="1"/>
                <w:bCs w:val="1"/>
                <w:color w:val="auto"/>
              </w:rPr>
              <w:t>Utah</w:t>
            </w: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940" w:type="dxa"/>
            <w:vAlign w:val="bottom"/>
            <w:gridSpan w:val="3"/>
          </w:tcPr>
          <w:p>
            <w:pPr>
              <w:jc w:val="right"/>
              <w:ind w:right="2542"/>
              <w:spacing w:after="0"/>
              <w:rPr>
                <w:sz w:val="20"/>
                <w:szCs w:val="20"/>
                <w:color w:val="auto"/>
              </w:rPr>
            </w:pPr>
            <w:r>
              <w:rPr>
                <w:rFonts w:ascii="Times New Roman" w:cs="Times New Roman" w:eastAsia="Times New Roman" w:hAnsi="Times New Roman"/>
                <w:sz w:val="16"/>
                <w:szCs w:val="16"/>
                <w:b w:val="1"/>
                <w:bCs w:val="1"/>
                <w:color w:val="auto"/>
              </w:rPr>
              <w:t>84047</w:t>
            </w:r>
          </w:p>
        </w:tc>
      </w:tr>
      <w:tr>
        <w:trPr>
          <w:trHeight w:val="188"/>
        </w:trPr>
        <w:tc>
          <w:tcPr>
            <w:tcW w:w="3680" w:type="dxa"/>
            <w:vAlign w:val="bottom"/>
            <w:gridSpan w:val="2"/>
          </w:tcPr>
          <w:p>
            <w:pPr>
              <w:jc w:val="center"/>
              <w:ind w:left="128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jc w:val="center"/>
              <w:ind w:right="1922"/>
              <w:spacing w:after="0"/>
              <w:rPr>
                <w:sz w:val="20"/>
                <w:szCs w:val="20"/>
                <w:color w:val="auto"/>
              </w:rPr>
            </w:pPr>
            <w:r>
              <w:rPr>
                <w:rFonts w:ascii="Times New Roman" w:cs="Times New Roman" w:eastAsia="Times New Roman" w:hAnsi="Times New Roman"/>
                <w:sz w:val="14"/>
                <w:szCs w:val="14"/>
                <w:color w:val="auto"/>
              </w:rPr>
              <w:t>(Zip Code)</w:t>
            </w:r>
          </w:p>
        </w:tc>
      </w:tr>
      <w:tr>
        <w:trPr>
          <w:trHeight w:val="509"/>
        </w:trPr>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gridSpan w:val="2"/>
          </w:tcPr>
          <w:p>
            <w:pPr>
              <w:jc w:val="center"/>
              <w:ind w:left="1176"/>
              <w:spacing w:after="0"/>
              <w:rPr>
                <w:sz w:val="20"/>
                <w:szCs w:val="20"/>
                <w:color w:val="auto"/>
              </w:rPr>
            </w:pPr>
            <w:r>
              <w:rPr>
                <w:rFonts w:ascii="Times New Roman" w:cs="Times New Roman" w:eastAsia="Times New Roman" w:hAnsi="Times New Roman"/>
                <w:sz w:val="16"/>
                <w:szCs w:val="16"/>
                <w:b w:val="1"/>
                <w:bCs w:val="1"/>
                <w:color w:val="auto"/>
              </w:rPr>
              <w:t>(801) 947-3100</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0"/>
        </w:trPr>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40" w:type="dxa"/>
            <w:vAlign w:val="bottom"/>
            <w:gridSpan w:val="4"/>
          </w:tcPr>
          <w:p>
            <w:pPr>
              <w:jc w:val="center"/>
              <w:ind w:right="366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445"/>
        </w:trPr>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00" w:type="dxa"/>
            <w:vAlign w:val="bottom"/>
            <w:gridSpan w:val="5"/>
          </w:tcPr>
          <w:p>
            <w:pPr>
              <w:jc w:val="center"/>
              <w:ind w:right="3602"/>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33"/>
        </w:trPr>
        <w:tc>
          <w:tcPr>
            <w:tcW w:w="36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Title of each class</w:t>
            </w:r>
          </w:p>
        </w:tc>
        <w:tc>
          <w:tcPr>
            <w:tcW w:w="60" w:type="dxa"/>
            <w:vAlign w:val="bottom"/>
          </w:tcPr>
          <w:p>
            <w:pPr>
              <w:spacing w:after="0"/>
              <w:rPr>
                <w:sz w:val="20"/>
                <w:szCs w:val="20"/>
                <w:color w:val="auto"/>
              </w:rPr>
            </w:pPr>
          </w:p>
        </w:tc>
        <w:tc>
          <w:tcPr>
            <w:tcW w:w="2500" w:type="dxa"/>
            <w:vAlign w:val="bottom"/>
          </w:tcPr>
          <w:p>
            <w:pPr>
              <w:jc w:val="center"/>
              <w:ind w:left="1066"/>
              <w:spacing w:after="0"/>
              <w:rPr>
                <w:sz w:val="20"/>
                <w:szCs w:val="20"/>
                <w:color w:val="auto"/>
              </w:rPr>
            </w:pPr>
            <w:r>
              <w:rPr>
                <w:rFonts w:ascii="Times New Roman" w:cs="Times New Roman" w:eastAsia="Times New Roman" w:hAnsi="Times New Roman"/>
                <w:sz w:val="16"/>
                <w:szCs w:val="16"/>
                <w:color w:val="auto"/>
              </w:rPr>
              <w:t>Trading Symbol(s)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00" w:type="dxa"/>
            <w:vAlign w:val="bottom"/>
            <w:tcBorders>
              <w:top w:val="single" w:sz="8" w:color="auto"/>
            </w:tcBorders>
          </w:tcPr>
          <w:p>
            <w:pPr>
              <w:jc w:val="center"/>
              <w:ind w:left="1066"/>
              <w:spacing w:after="0"/>
              <w:rPr>
                <w:sz w:val="20"/>
                <w:szCs w:val="20"/>
                <w:color w:val="auto"/>
              </w:rPr>
            </w:pPr>
            <w:r>
              <w:rPr>
                <w:rFonts w:ascii="Times New Roman" w:cs="Times New Roman" w:eastAsia="Times New Roman" w:hAnsi="Times New Roman"/>
                <w:sz w:val="16"/>
                <w:szCs w:val="16"/>
                <w:color w:val="auto"/>
              </w:rPr>
              <w:t>BYON</w:t>
            </w: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29" w:lineRule="exact"/>
        <w:rPr>
          <w:sz w:val="24"/>
          <w:szCs w:val="24"/>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196" w:lineRule="exact"/>
        <w:rPr>
          <w:sz w:val="24"/>
          <w:szCs w:val="24"/>
          <w:color w:val="auto"/>
        </w:rPr>
      </w:pPr>
    </w:p>
    <w:p>
      <w:pPr>
        <w:ind w:right="160" w:firstLine="243"/>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132" w:lineRule="exact"/>
        <w:rPr>
          <w:sz w:val="24"/>
          <w:szCs w:val="24"/>
          <w:color w:val="auto"/>
        </w:rPr>
      </w:pPr>
    </w:p>
    <w:p>
      <w:pPr>
        <w:ind w:firstLine="243"/>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ectPr>
          <w:pgSz w:w="11900" w:h="16838" w:orient="portrait"/>
          <w:cols w:equalWidth="0" w:num="1">
            <w:col w:w="11240"/>
          </w:cols>
          <w:pgMar w:left="320" w:top="1118" w:right="339" w:bottom="1440" w:gutter="0" w:footer="0" w:header="0"/>
        </w:sectPr>
      </w:pP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Act.</w:t>
      </w:r>
    </w:p>
    <w:p>
      <w:pPr>
        <w:spacing w:after="0" w:line="159" w:lineRule="exact"/>
        <w:rPr>
          <w:sz w:val="24"/>
          <w:szCs w:val="24"/>
          <w:color w:val="auto"/>
        </w:rPr>
      </w:pPr>
    </w:p>
    <w:p>
      <w:pPr>
        <w:jc w:val="right"/>
        <w:ind w:right="126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86"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110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1120" w:type="dxa"/>
            <w:vAlign w:val="bottom"/>
          </w:tcPr>
          <w:p>
            <w:pPr>
              <w:ind w:left="9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110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20" w:type="dxa"/>
            <w:vAlign w:val="bottom"/>
          </w:tcPr>
          <w:p>
            <w:pPr>
              <w:ind w:left="9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1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1120" w:type="dxa"/>
            <w:vAlign w:val="bottom"/>
          </w:tcPr>
          <w:p>
            <w:pPr>
              <w:ind w:left="92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200" w:lineRule="exact"/>
        <w:rPr>
          <w:sz w:val="24"/>
          <w:szCs w:val="24"/>
          <w:color w:val="auto"/>
        </w:rPr>
      </w:pPr>
    </w:p>
    <w:p>
      <w:pPr>
        <w:sectPr>
          <w:pgSz w:w="11900" w:h="16838" w:orient="portrait"/>
          <w:cols w:equalWidth="0" w:num="2">
            <w:col w:w="4420" w:space="720"/>
            <w:col w:w="6100"/>
          </w:cols>
          <w:pgMar w:left="320" w:top="1118" w:right="339" w:bottom="1440" w:gutter="0" w:footer="0" w:header="0"/>
          <w:type w:val="continuous"/>
        </w:sectPr>
      </w:pPr>
    </w:p>
    <w:p>
      <w:pPr>
        <w:spacing w:after="0" w:line="93" w:lineRule="exact"/>
        <w:rPr>
          <w:sz w:val="24"/>
          <w:szCs w:val="24"/>
          <w:color w:val="auto"/>
        </w:rPr>
      </w:pPr>
    </w:p>
    <w:p>
      <w:pPr>
        <w:ind w:right="340" w:firstLine="243"/>
        <w:spacing w:after="0" w:line="25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39" w:lineRule="exact"/>
        <w:rPr>
          <w:sz w:val="24"/>
          <w:szCs w:val="24"/>
          <w:color w:val="auto"/>
        </w:rPr>
      </w:pPr>
    </w:p>
    <w:p>
      <w:pPr>
        <w:ind w:left="260"/>
        <w:spacing w:after="0" w:line="24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30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6"/>
          <w:szCs w:val="16"/>
          <w:color w:val="auto"/>
        </w:rPr>
        <w:t>45,750,676 shares of the registrant's common stock, par value $0.0001, were outstanding on July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88900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7"/>
        </w:trPr>
        <w:tc>
          <w:tcPr>
            <w:tcW w:w="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7"/>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BEYOND, INC.</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1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TABLE OF CONTENTS TO QUARTERLY REPORT ON FORM 10-Q</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0" w:type="dxa"/>
            <w:vAlign w:val="bottom"/>
            <w:gridSpan w:val="9"/>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June 30, 2024</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9"/>
            <w:vMerge w:val="restart"/>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0" w:type="dxa"/>
            <w:vAlign w:val="bottom"/>
            <w:gridSpan w:val="9"/>
            <w:vMerge w:val="continue"/>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800" w:type="dxa"/>
            <w:vAlign w:val="bottom"/>
            <w:gridSpan w:val="9"/>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5200" w:type="dxa"/>
            <w:vAlign w:val="bottom"/>
            <w:gridSpan w:val="8"/>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4480" w:type="dxa"/>
            <w:vAlign w:val="bottom"/>
            <w:gridSpan w:val="6"/>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660" w:type="dxa"/>
            <w:vAlign w:val="bottom"/>
            <w:gridSpan w:val="2"/>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860" w:type="dxa"/>
            <w:vAlign w:val="bottom"/>
            <w:gridSpan w:val="3"/>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9"/>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4"/>
                <w:szCs w:val="24"/>
                <w:color w:val="auto"/>
              </w:rPr>
            </w:pPr>
          </w:p>
        </w:tc>
        <w:tc>
          <w:tcPr>
            <w:tcW w:w="6900" w:type="dxa"/>
            <w:vAlign w:val="bottom"/>
            <w:gridSpan w:val="13"/>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6"/>
          </w:tcPr>
          <w:p>
            <w:pPr>
              <w:spacing w:after="0"/>
              <w:rPr>
                <w:sz w:val="24"/>
                <w:szCs w:val="24"/>
                <w:color w:val="auto"/>
              </w:rPr>
            </w:pPr>
          </w:p>
        </w:tc>
        <w:tc>
          <w:tcPr>
            <w:tcW w:w="3880" w:type="dxa"/>
            <w:vAlign w:val="bottom"/>
            <w:gridSpan w:val="4"/>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60" w:type="dxa"/>
            <w:vAlign w:val="bottom"/>
            <w:gridSpan w:val="12"/>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6920" w:type="dxa"/>
            <w:vAlign w:val="bottom"/>
            <w:gridSpan w:val="14"/>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620" w:type="dxa"/>
            <w:vAlign w:val="bottom"/>
            <w:gridSpan w:val="2"/>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CAUTIONARY NOTE REGARDING FORWARD-LOOKING STATEMENTS</w:t>
      </w:r>
    </w:p>
    <w:p>
      <w:pPr>
        <w:spacing w:after="0" w:line="227" w:lineRule="exact"/>
        <w:rPr>
          <w:sz w:val="20"/>
          <w:szCs w:val="20"/>
          <w:color w:val="auto"/>
        </w:rPr>
      </w:pPr>
    </w:p>
    <w:p>
      <w:pPr>
        <w:ind w:right="100"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This Quarterly Report on Form 10-Q and any documents incorporated herein by reference, and our other public documents and statements our officers and representatives may make from time to time, contain forward-looking statements within the meaning of the federal securities laws. We intend for these statements to be entitled to the protection of the safe harbor provisions of these laws. You can find many of these statements by looking for words such as "may," "would," "could," "should," "will," "expect," "anticipate," "predict," "project," "potential," "continue," "contemplate," "seek," "assume," "believe," "intend," "plan," "forecast," "goal," "estimate," or other similar expressions which identify these forward-looking statements.</w:t>
      </w:r>
    </w:p>
    <w:p>
      <w:pPr>
        <w:spacing w:after="0" w:line="210" w:lineRule="exact"/>
        <w:rPr>
          <w:sz w:val="20"/>
          <w:szCs w:val="20"/>
          <w:color w:val="auto"/>
        </w:rPr>
      </w:pPr>
    </w:p>
    <w:p>
      <w:pPr>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involve risks and uncertainties and relate to future events or our future financial or operating performance. These forward-looking statements are not historical facts, and are based on current expectations, estimates and projections about our industry and business, and on management's beliefs and certain assumptions made by management, many of which, by their nature, are inherently uncertain and beyond our control. Accordingly, you are cautioned that any such forward-looking statements are not guarantees of future performance and are subject to assumptions, risks, uncertainties, and other important factors that are difficult to predict, and that actual results and outcomes may be materially different from the results or outcomes expressed or implied by any of our forward-looking statements for a variety of reasons, including among others:</w:t>
      </w:r>
    </w:p>
    <w:p>
      <w:pPr>
        <w:spacing w:after="0" w:line="209" w:lineRule="exact"/>
        <w:rPr>
          <w:sz w:val="20"/>
          <w:szCs w:val="20"/>
          <w:color w:val="auto"/>
        </w:rPr>
      </w:pPr>
    </w:p>
    <w:p>
      <w:pPr>
        <w:ind w:left="660" w:right="500" w:hanging="328"/>
        <w:spacing w:after="0" w:line="262"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difficulties we may encounter as a result of our reliance on third-parties that we do not control for the performance of critical functions material to our business, such as carriers, fulfillment partners, and SaaS/IaaS providers;</w:t>
      </w:r>
    </w:p>
    <w:p>
      <w:pPr>
        <w:ind w:left="660" w:right="82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to compete successfully against existing or future competitors or to effectively market our business and generate customer traffic;</w:t>
      </w:r>
    </w:p>
    <w:p>
      <w:pPr>
        <w:ind w:left="660" w:right="40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recession or other economic downturn, inflation, high interest rates, our exposure to the U.S. housing market, or other changes in U.S. and global economic conditions or U.S. consumer spending;</w:t>
      </w:r>
    </w:p>
    <w:p>
      <w:pPr>
        <w:ind w:left="660" w:right="44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increases in the price of importing goods into the U.S. or transporting to our customers the types of merchandise we sell or other supply chain challenges that limit our ability to deliver merchandise to our customers in a timely and cost-effective manner;</w:t>
      </w:r>
    </w:p>
    <w:p>
      <w:pPr>
        <w:ind w:left="660" w:right="36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difficulties or negative consequences we may encounter as a result of our changed company name, changed stock ticker symbol, changed stock exchange on which our common stock trades, or as a result of the use of our various brands including Beyond, Overstock, Bed Bath &amp; Beyond, Zulily, Backyard, and College Living;</w:t>
      </w:r>
    </w:p>
    <w:p>
      <w:pPr>
        <w:spacing w:after="0" w:line="1" w:lineRule="exact"/>
        <w:rPr>
          <w:rFonts w:ascii="Times New Roman" w:cs="Times New Roman" w:eastAsia="Times New Roman" w:hAnsi="Times New Roman"/>
          <w:sz w:val="18"/>
          <w:szCs w:val="18"/>
          <w:i w:val="1"/>
          <w:iCs w:val="1"/>
          <w:color w:val="auto"/>
        </w:rPr>
      </w:pPr>
    </w:p>
    <w:p>
      <w:pPr>
        <w:ind w:left="660" w:right="62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problems associated with the changing job market, changing job structure, changing compensation structure, or ability to attract and retain key personnel;</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to generate and maintain unpaid natural traffic to our websites;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to become profitable or generate positive cash flow from operations;</w:t>
      </w:r>
    </w:p>
    <w:p>
      <w:pPr>
        <w:spacing w:after="0" w:line="9" w:lineRule="exact"/>
        <w:rPr>
          <w:rFonts w:ascii="Times New Roman" w:cs="Times New Roman" w:eastAsia="Times New Roman" w:hAnsi="Times New Roman"/>
          <w:sz w:val="18"/>
          <w:szCs w:val="18"/>
          <w:i w:val="1"/>
          <w:iCs w:val="1"/>
          <w:color w:val="auto"/>
        </w:rPr>
      </w:pPr>
    </w:p>
    <w:p>
      <w:pPr>
        <w:ind w:left="660" w:right="80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relocation or third-party maintenance of our data center or any other risks or challenges that could result in loss of functionality or unavailability of our websites or reduced performance of our transaction systems;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exposure to cybersecurity risks, risks of data loss and other security breaches;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risk that we may be required to recognize losses relating to our equity and other investments;</w:t>
      </w:r>
    </w:p>
    <w:p>
      <w:pPr>
        <w:spacing w:after="0" w:line="15" w:lineRule="exact"/>
        <w:rPr>
          <w:rFonts w:ascii="Times New Roman" w:cs="Times New Roman" w:eastAsia="Times New Roman" w:hAnsi="Times New Roman"/>
          <w:sz w:val="18"/>
          <w:szCs w:val="18"/>
          <w:i w:val="1"/>
          <w:iCs w:val="1"/>
          <w:color w:val="auto"/>
        </w:rPr>
      </w:pPr>
    </w:p>
    <w:p>
      <w:pPr>
        <w:ind w:left="660" w:right="100" w:hanging="328"/>
        <w:spacing w:after="0" w:line="236" w:lineRule="auto"/>
        <w:tabs>
          <w:tab w:leader="none" w:pos="655" w:val="left"/>
        </w:tabs>
        <w:numPr>
          <w:ilvl w:val="0"/>
          <w:numId w:val="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the impacts that we would experience if governmental entities or providers of consumer devices and internet browsers further restrict or regulate the use of "cookie" tracking technologies;</w:t>
      </w:r>
    </w:p>
    <w:p>
      <w:pPr>
        <w:ind w:left="660" w:right="520" w:hanging="328"/>
        <w:spacing w:after="0" w:line="235"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that any litigation, claims, or regulatory matters could have on our business, financial condition, results of operations, and cash flows;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to optimize and effectively operate our distribution center, warehouse, and customer service operations;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failures to effectively utilize technological advancements;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negative economic consequences of political events such as the U.S. presidential election, various global conflicts, and macroeconomic factors;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negative consequences associated with our determination to partially self-insure our employee's health insurance;</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we may be unable to protect our proprietary technology and to obtain trademark protection for our marks;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current and future claims of intellectual property infringement to which we are subject;</w:t>
      </w:r>
    </w:p>
    <w:p>
      <w:pPr>
        <w:spacing w:after="0" w:line="9" w:lineRule="exact"/>
        <w:rPr>
          <w:rFonts w:ascii="Times New Roman" w:cs="Times New Roman" w:eastAsia="Times New Roman" w:hAnsi="Times New Roman"/>
          <w:sz w:val="18"/>
          <w:szCs w:val="18"/>
          <w:i w:val="1"/>
          <w:iCs w:val="1"/>
          <w:color w:val="auto"/>
        </w:rPr>
      </w:pPr>
    </w:p>
    <w:p>
      <w:pPr>
        <w:ind w:left="660" w:right="300" w:hanging="328"/>
        <w:spacing w:after="0" w:line="26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difficulties we may encounter as a result of our reliance on third-parties that we do not control for their representations regarding product compliance with various laws and regulations;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ind w:left="660" w:right="220" w:hanging="328"/>
        <w:spacing w:after="0" w:line="258"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difficulties we may encounter as a result of our evolving business practices, including the expansion of our products and service offerings, our continuing expansion into international markets, our changing approach to holding inventory, content creation, and sales through our various websites and brands;</w:t>
      </w:r>
    </w:p>
    <w:p>
      <w:pPr>
        <w:ind w:left="660" w:right="320" w:hanging="328"/>
        <w:spacing w:after="0" w:line="250"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problems associated with our lack of visibility into, and our lack of influence over, our equity method investments, including our reliance on third-parties to timely and accurately report material events to us;</w:t>
      </w:r>
    </w:p>
    <w:p>
      <w:pPr>
        <w:ind w:left="660" w:right="540" w:hanging="328"/>
        <w:spacing w:after="0" w:line="250"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of Pelion Venture Partners to successfully manage the Medici Ventures, L.P. fund, in which we are the limited partner, or any other entity in which we also have a direct minority interest; and</w:t>
      </w: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other risks described in this report or in our other public filings.</w:t>
      </w:r>
    </w:p>
    <w:p>
      <w:pPr>
        <w:spacing w:after="0" w:line="232" w:lineRule="exact"/>
        <w:rPr>
          <w:sz w:val="20"/>
          <w:szCs w:val="20"/>
          <w:color w:val="auto"/>
        </w:rPr>
      </w:pPr>
    </w:p>
    <w:p>
      <w:pPr>
        <w:ind w:firstLine="567"/>
        <w:spacing w:after="0" w:line="271" w:lineRule="auto"/>
        <w:rPr>
          <w:sz w:val="20"/>
          <w:szCs w:val="20"/>
          <w:color w:val="auto"/>
        </w:rPr>
      </w:pPr>
      <w:r>
        <w:rPr>
          <w:rFonts w:ascii="Times New Roman" w:cs="Times New Roman" w:eastAsia="Times New Roman" w:hAnsi="Times New Roman"/>
          <w:sz w:val="17"/>
          <w:szCs w:val="17"/>
          <w:i w:val="1"/>
          <w:iCs w:val="1"/>
          <w:color w:val="auto"/>
        </w:rPr>
        <w:t>In evaluating all forward-looking statements, you should specifically consider the risks outlined above and in this report and our Annual Report on Form 10-K for the year ended December 31, 2023, filed with the SEC on February 23, 2024, in our Form 10-Q for the quarter ended March 31, 2024, filed with the SEC on May 8, 2024, especially under the headings "Special Cautionary Note Regarding Forward-Looking Statements," "Risk Factors," "Legal Proceedings," and "Management's Discussion and Analysis of Financial Condition and Results of Operations." These factors may cause our actual results and outcomes to differ materially from those contemplated by any forward-looking statement. Although we believe that our expectations reflected in the forward-looking statements are reasonable, we cannot guarantee or offer any assurance of future results, levels of activity, performance or achievements or other future events. Our forward-looking statements contained in this report speak only as of the date of this report and, except as required by law, we undertake no obligation to update forward-looking statements to reflect events or circumstances occurring after the date of this report or any changes in our expectations or any change in any events, conditions or circumstances on which any of our forward-looking statements are based.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1280" w:type="dxa"/>
            <w:vAlign w:val="bottom"/>
            <w:tcBorders>
              <w:top w:val="single" w:sz="8" w:color="0000FF"/>
            </w:tcBorders>
          </w:tcPr>
          <w:p>
            <w:pPr>
              <w:spacing w:after="0"/>
              <w:rPr>
                <w:sz w:val="24"/>
                <w:szCs w:val="24"/>
                <w:color w:val="auto"/>
              </w:rPr>
            </w:pPr>
          </w:p>
        </w:tc>
        <w:tc>
          <w:tcPr>
            <w:tcW w:w="68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4"/>
                <w:szCs w:val="24"/>
                <w:color w:val="auto"/>
              </w:rPr>
            </w:pPr>
          </w:p>
        </w:tc>
        <w:tc>
          <w:tcPr>
            <w:tcW w:w="680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Beyond, Inc.</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6800" w:type="dxa"/>
            <w:vAlign w:val="bottom"/>
          </w:tcPr>
          <w:p>
            <w:pPr>
              <w:jc w:val="center"/>
              <w:ind w:left="1810"/>
              <w:spacing w:after="0" w:line="180" w:lineRule="exact"/>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8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80" w:type="dxa"/>
            <w:vAlign w:val="bottom"/>
          </w:tcPr>
          <w:p>
            <w:pPr>
              <w:spacing w:after="0"/>
              <w:rPr>
                <w:sz w:val="20"/>
                <w:szCs w:val="20"/>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0"/>
                <w:szCs w:val="20"/>
                <w:color w:val="auto"/>
              </w:rPr>
            </w:pPr>
          </w:p>
        </w:tc>
        <w:tc>
          <w:tcPr>
            <w:tcW w:w="1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280" w:type="dxa"/>
            <w:vAlign w:val="bottom"/>
            <w:tcBorders>
              <w:bottom w:val="single" w:sz="8" w:color="CCEEFF"/>
            </w:tcBorders>
          </w:tcPr>
          <w:p>
            <w:pPr>
              <w:spacing w:after="0"/>
              <w:rPr>
                <w:sz w:val="20"/>
                <w:szCs w:val="20"/>
                <w:color w:val="auto"/>
              </w:rPr>
            </w:pPr>
          </w:p>
        </w:tc>
        <w:tc>
          <w:tcPr>
            <w:tcW w:w="68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spacing w:after="0"/>
              <w:rPr>
                <w:sz w:val="19"/>
                <w:szCs w:val="19"/>
                <w:color w:val="auto"/>
              </w:rPr>
            </w:pPr>
          </w:p>
        </w:tc>
        <w:tc>
          <w:tcPr>
            <w:tcW w:w="6800" w:type="dxa"/>
            <w:vAlign w:val="bottom"/>
            <w:shd w:val="clear" w:color="auto" w:fill="CCEEFF"/>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302,605</w:t>
            </w: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$1,414 and $1,298</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19,420</w:t>
            </w: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0" w:type="dxa"/>
            <w:vAlign w:val="bottom"/>
          </w:tcPr>
          <w:p>
            <w:pPr>
              <w:spacing w:after="0"/>
              <w:rPr>
                <w:sz w:val="1"/>
                <w:szCs w:val="1"/>
                <w:color w:val="auto"/>
              </w:rPr>
            </w:pPr>
          </w:p>
        </w:tc>
      </w:tr>
      <w:tr>
        <w:trPr>
          <w:trHeight w:val="223"/>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350,073</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 including securities measured at fair value of $32,328 and $41,046</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155,873</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held for sale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54,462</w:t>
            </w:r>
          </w:p>
        </w:tc>
        <w:tc>
          <w:tcPr>
            <w:tcW w:w="0" w:type="dxa"/>
            <w:vAlign w:val="bottom"/>
          </w:tcPr>
          <w:p>
            <w:pPr>
              <w:spacing w:after="0"/>
              <w:rPr>
                <w:sz w:val="1"/>
                <w:szCs w:val="1"/>
                <w:color w:val="auto"/>
              </w:rPr>
            </w:pPr>
          </w:p>
        </w:tc>
      </w:tr>
      <w:tr>
        <w:trPr>
          <w:trHeight w:val="223"/>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496,782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635,818</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6800" w:type="dxa"/>
            <w:vAlign w:val="bottom"/>
            <w:shd w:val="clear" w:color="auto" w:fill="CCEEFF"/>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106,070</w:t>
            </w: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73,682</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revenue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49,597</w:t>
            </w: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debt, net held for sale</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3"/>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203,045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232,395</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held for sale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34,244</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276,686</w:t>
            </w: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Continued on the following page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1280" w:type="dxa"/>
            <w:vAlign w:val="bottom"/>
            <w:tcBorders>
              <w:top w:val="single" w:sz="8" w:color="0000FF"/>
            </w:tcBorders>
          </w:tcPr>
          <w:p>
            <w:pPr>
              <w:spacing w:after="0"/>
              <w:rPr>
                <w:sz w:val="24"/>
                <w:szCs w:val="24"/>
                <w:color w:val="auto"/>
              </w:rPr>
            </w:pPr>
          </w:p>
        </w:tc>
        <w:tc>
          <w:tcPr>
            <w:tcW w:w="680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Beyond, Inc.</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6800" w:type="dxa"/>
            <w:vAlign w:val="bottom"/>
          </w:tcPr>
          <w:p>
            <w:pPr>
              <w:jc w:val="center"/>
              <w:ind w:left="1810"/>
              <w:spacing w:after="0" w:line="180" w:lineRule="exact"/>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8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80" w:type="dxa"/>
            <w:vAlign w:val="bottom"/>
          </w:tcPr>
          <w:p>
            <w:pPr>
              <w:spacing w:after="0"/>
              <w:rPr>
                <w:sz w:val="20"/>
                <w:szCs w:val="20"/>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0"/>
                <w:szCs w:val="20"/>
                <w:color w:val="auto"/>
              </w:rPr>
            </w:pPr>
          </w:p>
        </w:tc>
        <w:tc>
          <w:tcPr>
            <w:tcW w:w="1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280" w:type="dxa"/>
            <w:vAlign w:val="bottom"/>
            <w:tcBorders>
              <w:bottom w:val="single" w:sz="8" w:color="CCEEFF"/>
            </w:tcBorders>
          </w:tcPr>
          <w:p>
            <w:pPr>
              <w:spacing w:after="0"/>
              <w:rPr>
                <w:sz w:val="20"/>
                <w:szCs w:val="20"/>
                <w:color w:val="auto"/>
              </w:rPr>
            </w:pPr>
          </w:p>
        </w:tc>
        <w:tc>
          <w:tcPr>
            <w:tcW w:w="68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5"/>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 stock, $0.0001 par value, authorized shares - 5,000, issued and outstanding - none</w:t>
            </w: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$0.0001 par value, authorized shares - 100,000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Issued shares - 52,230 and 51,770</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shares - 45,750 and 45,414</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1,007,649</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(481,671)</w:t>
            </w:r>
          </w:p>
        </w:tc>
        <w:tc>
          <w:tcPr>
            <w:tcW w:w="0" w:type="dxa"/>
            <w:vAlign w:val="bottom"/>
          </w:tcPr>
          <w:p>
            <w:pPr>
              <w:spacing w:after="0"/>
              <w:rPr>
                <w:sz w:val="1"/>
                <w:szCs w:val="1"/>
                <w:color w:val="auto"/>
              </w:rPr>
            </w:pPr>
          </w:p>
        </w:tc>
      </w:tr>
      <w:tr>
        <w:trPr>
          <w:trHeight w:val="229"/>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- 6,480 and 6,356</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(166,345)</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359,132</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635,818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7"/>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920" w:type="dxa"/>
            <w:vAlign w:val="bottom"/>
          </w:tcPr>
          <w:p>
            <w:pPr>
              <w:spacing w:after="0"/>
              <w:rPr>
                <w:sz w:val="24"/>
                <w:szCs w:val="24"/>
                <w:color w:val="auto"/>
              </w:rPr>
            </w:pPr>
          </w:p>
        </w:tc>
        <w:tc>
          <w:tcPr>
            <w:tcW w:w="3840" w:type="dxa"/>
            <w:vAlign w:val="bottom"/>
            <w:gridSpan w:val="4"/>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Beyond, Inc.</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28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(Unaudited)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4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4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Customer service and merchant fees</w:t>
            </w:r>
          </w:p>
        </w:tc>
        <w:tc>
          <w:tcPr>
            <w:tcW w:w="2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(80,673)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31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(42,578)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(73,493)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(116,506)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(83,800)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w:t>
            </w:r>
          </w:p>
        </w:tc>
        <w:tc>
          <w:tcPr>
            <w:tcW w:w="2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180" w:type="dxa"/>
            <w:vAlign w:val="bottom"/>
            <w:gridSpan w:val="2"/>
            <w:vMerge w:val="continue"/>
          </w:tcPr>
          <w:p>
            <w:pPr>
              <w:spacing w:after="0"/>
              <w:rPr>
                <w:sz w:val="17"/>
                <w:szCs w:val="17"/>
                <w:color w:val="auto"/>
              </w:rPr>
            </w:pPr>
          </w:p>
        </w:tc>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45,134</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727"/>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540" w:type="dxa"/>
            <w:vAlign w:val="bottom"/>
          </w:tcPr>
          <w:p>
            <w:pPr>
              <w:spacing w:after="0"/>
              <w:rPr>
                <w:sz w:val="24"/>
                <w:szCs w:val="24"/>
                <w:color w:val="auto"/>
              </w:rPr>
            </w:pPr>
          </w:p>
        </w:tc>
        <w:tc>
          <w:tcPr>
            <w:tcW w:w="3360" w:type="dxa"/>
            <w:vAlign w:val="bottom"/>
            <w:gridSpan w:val="2"/>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Beyond, Inc.</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660" w:type="dxa"/>
            <w:vAlign w:val="bottom"/>
            <w:gridSpan w:val="7"/>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(Unaudited)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36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4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0" w:type="dxa"/>
            <w:vAlign w:val="bottom"/>
          </w:tcPr>
          <w:p>
            <w:pPr>
              <w:spacing w:after="0"/>
              <w:rPr>
                <w:sz w:val="19"/>
                <w:szCs w:val="19"/>
                <w:color w:val="auto"/>
              </w:rPr>
            </w:pP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(83,800)</w:t>
            </w:r>
          </w:p>
        </w:tc>
      </w:tr>
      <w:tr>
        <w:trPr>
          <w:trHeight w:val="230"/>
        </w:trPr>
        <w:tc>
          <w:tcPr>
            <w:tcW w:w="20" w:type="dxa"/>
            <w:vAlign w:val="bottom"/>
          </w:tcPr>
          <w:p>
            <w:pPr>
              <w:spacing w:after="0"/>
              <w:rPr>
                <w:sz w:val="19"/>
                <w:szCs w:val="19"/>
                <w:color w:val="auto"/>
              </w:rPr>
            </w:pP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6160" w:type="dxa"/>
            <w:vAlign w:val="bottom"/>
            <w:gridSpan w:val="4"/>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on cash flow hedges, net of expense for taxes of $0, $0,</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2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 and $0</w:t>
            </w:r>
          </w:p>
        </w:tc>
        <w:tc>
          <w:tcPr>
            <w:tcW w:w="28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20" w:type="dxa"/>
            <w:vAlign w:val="bottom"/>
          </w:tcPr>
          <w:p>
            <w:pPr>
              <w:spacing w:after="0"/>
              <w:rPr>
                <w:sz w:val="19"/>
                <w:szCs w:val="19"/>
                <w:color w:val="auto"/>
              </w:rPr>
            </w:pPr>
          </w:p>
        </w:tc>
        <w:tc>
          <w:tcPr>
            <w:tcW w:w="2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20" w:type="dxa"/>
            <w:vAlign w:val="bottom"/>
          </w:tcPr>
          <w:p>
            <w:pPr>
              <w:spacing w:after="0"/>
              <w:rPr>
                <w:sz w:val="21"/>
                <w:szCs w:val="21"/>
                <w:color w:val="auto"/>
              </w:rPr>
            </w:pP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(83,792)</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Beyond, Inc.</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4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5"/>
        </w:trPr>
        <w:tc>
          <w:tcPr>
            <w:tcW w:w="5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attributable to stockholders of Beyond, Inc.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of common stock issued</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51,102</w:t>
            </w:r>
          </w:p>
        </w:tc>
      </w:tr>
      <w:tr>
        <w:trPr>
          <w:trHeight w:val="229"/>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issued upon vesting of restricted stock</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issued for ESPP purchases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52,230</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51,455</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52,230</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51,455</w:t>
            </w:r>
          </w:p>
        </w:tc>
      </w:tr>
      <w:tr>
        <w:trPr>
          <w:trHeight w:val="20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of treasury stock</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w:t>
            </w:r>
          </w:p>
        </w:tc>
      </w:tr>
      <w:tr>
        <w:trPr>
          <w:trHeight w:val="22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withholding upon vesting of employee stock awards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w:t>
            </w:r>
          </w:p>
        </w:tc>
      </w:tr>
      <w:tr>
        <w:trPr>
          <w:trHeight w:val="223"/>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shares of common stock outstanding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45,202</w:t>
            </w: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56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6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982,718</w:t>
            </w:r>
          </w:p>
        </w:tc>
      </w:tr>
      <w:tr>
        <w:trPr>
          <w:trHeight w:val="229"/>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to employees and directors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w:t>
            </w:r>
          </w:p>
        </w:tc>
      </w:tr>
      <w:tr>
        <w:trPr>
          <w:trHeight w:val="23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issued for ESPP purchases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23"/>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1,018,619</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995,904</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1,018,619</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995,904</w:t>
            </w: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(555,599)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(184,136)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(481,671)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(173,829)</w:t>
            </w:r>
          </w:p>
        </w:tc>
      </w:tr>
      <w:tr>
        <w:trPr>
          <w:trHeight w:val="22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(83,800)</w:t>
            </w:r>
          </w:p>
        </w:tc>
      </w:tr>
      <w:tr>
        <w:trPr>
          <w:trHeight w:val="223"/>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(257,629)</w:t>
            </w:r>
          </w:p>
        </w:tc>
      </w:tr>
      <w:tr>
        <w:trPr>
          <w:trHeight w:val="20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3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(169,517)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(164,480)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(166,345)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(162,546)</w:t>
            </w:r>
          </w:p>
        </w:tc>
      </w:tr>
      <w:tr>
        <w:trPr>
          <w:trHeight w:val="22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withholding upon vesting of employee stock awards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r>
      <w:tr>
        <w:trPr>
          <w:trHeight w:val="223"/>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(164,600)</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573,166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Beyond, Inc.</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780" w:type="dxa"/>
            <w:vAlign w:val="bottom"/>
          </w:tcPr>
          <w:p>
            <w:pPr>
              <w:jc w:val="center"/>
              <w:ind w:left="18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Cash Flows (Unaudited)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8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0"/>
                <w:szCs w:val="20"/>
                <w:color w:val="auto"/>
              </w:rPr>
            </w:pPr>
          </w:p>
        </w:tc>
        <w:tc>
          <w:tcPr>
            <w:tcW w:w="2800" w:type="dxa"/>
            <w:vAlign w:val="bottom"/>
            <w:gridSpan w:val="4"/>
            <w:vMerge w:val="restart"/>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 to employees and directors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decrease in deferred income taxes,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sale of 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equity method securities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Unearned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the sale of intangible assets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Disbursement for notes receivable</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Payments of taxes withheld upon vesting of employee stock awards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371,457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Beyond,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5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Beyond, Inc. is an ecommerce expert with a singular focus: connecting consumers with products and services that unlock their families' and homes' potential. As the owner of Bed Bath &amp; Beyond, Overstock, Zulily, and other related brands and associated intellectual property, our suite of online shopping brands features millions of products for various life stages that millions of customers visit each month.</w:t>
      </w:r>
    </w:p>
    <w:p>
      <w:pPr>
        <w:spacing w:after="0" w:line="20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used herein, "Beyond," "the Company," "we," "our" and similar terms include Beyond, Inc. and its controlled subsidiaries, unless the context indicates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have prepared the accompanying unaudited consolidated financial statements pursuant to the rules and regulations of the Securities and Exchange Commission ("SEC") regarding interim financial reporting. Accordingly, certain information and footnote disclosures normally included in financial statements prepared in accordance with accounting principles generally accepted in the United States ("GAAP") have been omitted in accordance with the rules and regulations of the SEC. These financial statements should be read in conjunction with our audited annual consolidated financial statements and related notes included in our Annual Report on Form 10-K for the year ended December 31, 2023. There have been no significant changes to our significant accounting policies disclosed in Note 2—Accounting Policies and Supplemental Disclosures, included in Part II, Item 8, Financial Statements and Supplementary Data, of our Annual Report on Form 10-K for the year ended December 31, 2023, except as disclosed below.</w:t>
      </w:r>
    </w:p>
    <w:p>
      <w:pPr>
        <w:spacing w:after="0" w:line="2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our accounts and the accounts of our wholly-owned subsidiaries and reflect all adjustments, consisting only of normal recurring adjustments, which are, in our opinion, necessary for a fair presentation of results for the interim periods presented. All intercompany account balances and transactions have been eliminated in consolidation. The results of operations for the three and six months ended June 30, 2024, are not necessarily indicative of the results to be expected for any future period or the full fiscal year, due to seasonality and other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our consolidated financial statements and accompanying notes. Estimates are used for, but not limited to, receivables valuation, revenue recognition, loyalty program reward point and gift card breakage, sales returns, inventory valuation, asset useful lives, equity and debt securities valuation, income taxes, stock-based compensation, performance-based compensation, self-funded health insurance liabilities, and contingencies. Although these estimates are based on our best knowledge of current events and actions that we may undertake in the future, our accounting of these estimates may change from period to period. To the extent there are differences between these estimates and actual results, our consolidated financial statements may be materially affected.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presentation in the income statement</w:t>
      </w:r>
    </w:p>
    <w:p>
      <w:pPr>
        <w:spacing w:after="0" w:line="254"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2024, the Company changed the presentation for merchant fees associated with customer payments made by credit cards and other payment methods and customer service costs. Under the new presentation, the Company includes such expenses in a separate line in operating expenses labeled, "Customer service and merchant fees", whereas previously, these expenses were included in Cost of goods sold.</w:t>
      </w:r>
    </w:p>
    <w:p>
      <w:pPr>
        <w:spacing w:after="0" w:line="20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concluded that such a change in presentation is preferable in the circumstances because the treatment of these costs as operating expenses is aligned with the changes in business and strategy. The change will also provide greater transparency in the Company's external disclosures and related communications with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change in accounting policy has been applied retrospectively, and the unaudited consolidated statements of operations reflect the effect of this accounting principle change for all periods presented. This change in presentation had no impact on Loss before income taxes, Net loss, or Net loss per share of common stock basic or diluted. The consolidated balance sheets, consolidated statements of comprehensive loss, consolidated statements of changes in stockholders' equity, and consolidated statements of cash flows were not impacted by this accounting policy change.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presentation to the Company's unaudited consolidated statements of operations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Previously</w:t>
            </w:r>
          </w:p>
        </w:tc>
        <w:tc>
          <w:tcPr>
            <w:tcW w:w="200" w:type="dxa"/>
            <w:vAlign w:val="bottom"/>
          </w:tcPr>
          <w:p>
            <w:pPr>
              <w:spacing w:after="0"/>
              <w:rPr>
                <w:sz w:val="14"/>
                <w:szCs w:val="14"/>
                <w:color w:val="auto"/>
              </w:rPr>
            </w:pPr>
          </w:p>
        </w:tc>
        <w:tc>
          <w:tcPr>
            <w:tcW w:w="114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7"/>
              </w:rPr>
              <w:t>Effect of</w:t>
            </w:r>
          </w:p>
        </w:tc>
        <w:tc>
          <w:tcPr>
            <w:tcW w:w="14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160" w:type="dxa"/>
            <w:vAlign w:val="bottom"/>
          </w:tcPr>
          <w:p>
            <w:pPr>
              <w:spacing w:after="0"/>
              <w:rPr>
                <w:sz w:val="14"/>
                <w:szCs w:val="14"/>
                <w:color w:val="auto"/>
              </w:rPr>
            </w:pPr>
          </w:p>
        </w:tc>
        <w:tc>
          <w:tcPr>
            <w:tcW w:w="11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Previously</w:t>
            </w:r>
          </w:p>
        </w:tc>
        <w:tc>
          <w:tcPr>
            <w:tcW w:w="200" w:type="dxa"/>
            <w:vAlign w:val="bottom"/>
          </w:tcPr>
          <w:p>
            <w:pPr>
              <w:spacing w:after="0"/>
              <w:rPr>
                <w:sz w:val="14"/>
                <w:szCs w:val="14"/>
                <w:color w:val="auto"/>
              </w:rPr>
            </w:pPr>
          </w:p>
        </w:tc>
        <w:tc>
          <w:tcPr>
            <w:tcW w:w="114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Effect of</w:t>
            </w:r>
          </w:p>
        </w:tc>
        <w:tc>
          <w:tcPr>
            <w:tcW w:w="120" w:type="dxa"/>
            <w:vAlign w:val="bottom"/>
          </w:tcPr>
          <w:p>
            <w:pPr>
              <w:spacing w:after="0"/>
              <w:rPr>
                <w:sz w:val="14"/>
                <w:szCs w:val="14"/>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20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14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20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1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7"/>
              </w:rPr>
              <w:t>(13,197)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(25,168)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594,098</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13,197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25,168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209,253</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service and merchant fees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13,197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25,168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25,168</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52"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 expenses and other segment items on an interim and annual basis. For public entities, ASU 2023-07 is required to be adopted for annual periods beginning after December 15, 2023, and for interim periods within fiscal years beginning after December 15, 2024, with early adoption permitted. The Company is currently evaluating the impact of the adoption of this ASU on our consolidated financial statements and related disclosures. This ASU will likely result in us including the additional required disclosures when adopted.</w:t>
      </w:r>
    </w:p>
    <w:p>
      <w:pPr>
        <w:spacing w:after="0" w:line="20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public entities to disclose disaggregated information about a reporting entity's effective tax rate reconciliation as well as additional information on income taxes paid. For public entities, ASU 2023-09 is required to be adopted for annual periods beginning after December 15, 2024, with early adoption permitted. The Company is currently evaluating the impact of the adoption of this ASU on our consolidated financial statements and related disclosures. This ASU will likely result in us including the additional required disclosures when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25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assets and liabilities measured at fair value on a recurring basis using the following levels of inputs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Fair Value Measurements at June 30, 2024</w:t>
            </w:r>
          </w:p>
        </w:tc>
        <w:tc>
          <w:tcPr>
            <w:tcW w:w="106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32,328</w:t>
            </w: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debt securities (1)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Trading securities held in a "rabbi trust" (1)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189,822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146,761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43,061</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3"/>
        </w:trPr>
        <w:tc>
          <w:tcPr>
            <w:tcW w:w="5620" w:type="dxa"/>
            <w:vAlign w:val="bottom"/>
            <w:tcBorders>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 accrual "rabbi trust" (2)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2023</w:t>
            </w:r>
          </w:p>
        </w:tc>
        <w:tc>
          <w:tcPr>
            <w:tcW w:w="96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246,425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debt securities (1)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Trading securities held in a "rabbi trust" (1)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298,451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51,530</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4"/>
        </w:trPr>
        <w:tc>
          <w:tcPr>
            <w:tcW w:w="5620" w:type="dxa"/>
            <w:vAlign w:val="bottom"/>
            <w:tcBorders>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 accrual "rabbi trust" (2)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Prepaids and other current assets and Other long-term assets, net in the consolidated balance sheets.</w:t>
      </w:r>
    </w:p>
    <w:p>
      <w:pPr>
        <w:spacing w:after="0" w:line="2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liabilities in the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activity for our Level 3 investments (in thousands):</w:t>
            </w: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51"/>
        </w:trPr>
        <w:tc>
          <w:tcPr>
            <w:tcW w:w="906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 investments at December 31,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82,787</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due to purchases of Level 3 investments</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fair value of Level 3 investments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(41,741)</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interest on Level 3 investments</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 investments at December 31, 2023</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51,530</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fair value of Level 3 investments</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on Level 3 investments</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3 investments at June 30, 2024</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43,061</w:t>
            </w:r>
          </w:p>
        </w:tc>
      </w:tr>
      <w:tr>
        <w:trPr>
          <w:trHeight w:val="20"/>
        </w:trPr>
        <w:tc>
          <w:tcPr>
            <w:tcW w:w="9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ASSETS HELD FOR SALE</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Company committed to a plan to sell its corporate headquarters and associated building loan on the corporate headquarters (the disposal group). Management has selected a broker to actively market and sell its corporate headquarters. The corporate headquarters and related assets and liabilities met the criteria to be classified as held for sale as of June 30, 2024 and December 31, 2023 and are presented separately on our consolidated balance sheets. As of June 30, 2024, the corporate headquarters is being actively marketed to sell and is expected to sell within one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net (excluding assets held for sale) consist of the following (in thousands):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8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0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 including internal-use software and website development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249,208</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23"/>
        </w:trPr>
        <w:tc>
          <w:tcPr>
            <w:tcW w:w="8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261,922</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(234,345)</w:t>
            </w: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27,577</w:t>
            </w: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780" w:firstLine="648"/>
        <w:spacing w:after="0" w:line="312" w:lineRule="auto"/>
        <w:rPr>
          <w:sz w:val="20"/>
          <w:szCs w:val="20"/>
          <w:color w:val="auto"/>
        </w:rPr>
      </w:pPr>
      <w:r>
        <w:rPr>
          <w:rFonts w:ascii="Times New Roman" w:cs="Times New Roman" w:eastAsia="Times New Roman" w:hAnsi="Times New Roman"/>
          <w:sz w:val="17"/>
          <w:szCs w:val="17"/>
          <w:color w:val="auto"/>
        </w:rPr>
        <w:t>Capitalized costs associated with internal-use software and website development, both developed internally and acquired externally, and depreciation of costs for the same periods associated with internal-use software and website development consist of the following (in thousands):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224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5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20"/>
                <w:szCs w:val="20"/>
                <w:color w:val="auto"/>
              </w:rPr>
            </w:pPr>
          </w:p>
        </w:tc>
      </w:tr>
      <w:tr>
        <w:trPr>
          <w:trHeight w:val="225"/>
        </w:trPr>
        <w:tc>
          <w:tcPr>
            <w:tcW w:w="56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and website development</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4,576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of internal-use software and website development</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2,066</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r>
    </w:tbl>
    <w:p>
      <w:pPr>
        <w:spacing w:after="0" w:line="31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is classified within the corresponding operating expense categories on our consolidated statements of operations as follows (in thousands):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22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3,930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2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depreciation</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4,131</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4,513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10,493</w:t>
            </w: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NET</w:t>
      </w:r>
    </w:p>
    <w:p>
      <w:pPr>
        <w:spacing w:after="0" w:line="25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On March 6, 2024, we entered into an Intellectual Property Asset Purchase Agreement with Zulily ABC, LLC ("Zulily") to acquire certain intellectual property related to the Zulily brand. The aggregate purchase price, inclusive of direct acquisition-related expenses totaled $4.9 million which has been allocated to two major asset categories consisting of $4.1 million, for trade names with an indefinite useful life and $716,000 for customer lists with an estimated useful life of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March 31, 2024, we entered into an Asset Purchase Agreement with Indo Count Global, Inc. to sell certain intellectual property related to the Wamsutta brand which was acquired as part of our purchase of the Bed Bath &amp; Beyond brand in June 2023, for a total sales price of $10.3 million in cash plus the assumption of certain liabilities. On April 18, 2024, we closed the transaction and received the $10.3 million cash proceeds. For the three and six months ended June 30, 2024, we recognized the entire $10.3 million as a gain on the sale which is included in Other income (expense), net in our consolidated statements of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Intangible assets, net consist of the following (in thousands):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0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gross (1)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of intangible assets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22,037</w:t>
            </w:r>
          </w:p>
        </w:tc>
      </w:tr>
      <w:tr>
        <w:trPr>
          <w:trHeight w:val="248"/>
        </w:trPr>
        <w:tc>
          <w:tcPr>
            <w:tcW w:w="8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1040" w:hanging="384"/>
        <w:spacing w:after="0"/>
        <w:tabs>
          <w:tab w:leader="none" w:pos="10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June 30, 2024, the weighted average remaining useful life for intangible assets subject to amortization, gross was 4.1 years.</w:t>
      </w:r>
    </w:p>
    <w:p>
      <w:pPr>
        <w:spacing w:after="0" w:line="24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SECURITIES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Equity securities consist of the following (in thousands):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0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accounted for under the equity method under ASC 323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114,827</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securities accounted for under the equity method under the fair value option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41,046</w:t>
            </w:r>
          </w:p>
        </w:tc>
      </w:tr>
      <w:tr>
        <w:trPr>
          <w:trHeight w:val="248"/>
        </w:trPr>
        <w:tc>
          <w:tcPr>
            <w:tcW w:w="8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Our equity securities accounted for under the equity method under ASC 323 include equity securities in which we can exercise significant influence, but not control, over these entities through holding more than a 20% voting interest in the entity.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equity securities accounted for under the equity method (ASC 323) and related ownership interest as of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41"/>
        </w:trPr>
        <w:tc>
          <w:tcPr>
            <w:tcW w:w="9060" w:type="dxa"/>
            <w:vAlign w:val="bottom"/>
            <w:tcBorders>
              <w:bottom w:val="single" w:sz="8" w:color="CCEEFF"/>
            </w:tcBorders>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2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Medici Ventures, L.P.</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tZERO Group, Inc.</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SpeedRoute, LLC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w:t>
            </w:r>
          </w:p>
        </w:tc>
      </w:tr>
    </w:tbl>
    <w:p>
      <w:pPr>
        <w:spacing w:after="0" w:line="30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carrying amount of our equity method securities was $129.7 million at June 30, 2024, which is included in Equity securities on our consolidated balance sheets, of which $32.3 million was valued under the fair value option (tZERO and SpeedRoute). For our investments in Medici Ventures, L.P., tZERO, and SpeedRoute there was no difference in the carrying amount of the assets and liabilities and our maximum exposure to loss, and there was no difference between the carrying amount of our investment in Medici Ventures, L.P., and the amount of underlying equity we have in the entity's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loss recognized on equity method securities recorded in Other income (expense), net in our consolidated statements of operations (in thousands):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4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5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20"/>
                <w:szCs w:val="20"/>
                <w:color w:val="auto"/>
              </w:rPr>
            </w:pPr>
          </w:p>
        </w:tc>
      </w:tr>
      <w:tr>
        <w:trPr>
          <w:trHeight w:val="225"/>
        </w:trPr>
        <w:tc>
          <w:tcPr>
            <w:tcW w:w="5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55"/>
        </w:trPr>
        <w:tc>
          <w:tcPr>
            <w:tcW w:w="5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recognized on our proportionate share of the net assets of our equity</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 securities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(43,418)</w:t>
            </w:r>
          </w:p>
        </w:tc>
      </w:tr>
      <w:tr>
        <w:trPr>
          <w:trHeight w:val="175"/>
        </w:trPr>
        <w:tc>
          <w:tcPr>
            <w:tcW w:w="5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Decrease in fair value of equity method securities held under fair value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w:t>
            </w:r>
          </w:p>
        </w:tc>
        <w:tc>
          <w:tcPr>
            <w:tcW w:w="30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(44,402)</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S-X Rule 10-01(b)(1)</w:t>
      </w:r>
    </w:p>
    <w:p>
      <w:pPr>
        <w:spacing w:after="0" w:line="25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10-01(b)(1) of Regulation S-X, which applies to interim reports on Form 10-Q, the Company must determine if its equity method investees are considered "significant subsidiaries". Summarized income statement information of an equity method investee is required in an interim report if the significance criteria are met as defined under SEC guidance. For the period ended June 30, 2024, none of our equity method investees met the significance criteria. The following is the unaudited summarized financial information for those equity method securities that met the significance criteria for the period ended June 30, 2023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1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60" w:type="dxa"/>
            <w:vAlign w:val="bottom"/>
          </w:tcPr>
          <w:p>
            <w:pPr>
              <w:spacing w:after="0"/>
              <w:rPr>
                <w:sz w:val="20"/>
                <w:szCs w:val="20"/>
                <w:color w:val="auto"/>
              </w:rPr>
            </w:pPr>
          </w:p>
        </w:tc>
        <w:tc>
          <w:tcPr>
            <w:tcW w:w="19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9"/>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0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loss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w:t>
            </w: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BORROWINGS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March 2020, we entered into two loan agreements. The loan agreements provide a $34.5 million Senior Note, carrying interest at an annual rate of 4.242%, and a $13.0 million Mezzanine Note, carrying interest at an annual rate of 5.002%. The loans carry a blended annual interest rate of 4.45%. The Senior Note is for a 10-year term (stated maturity date is March 6, 2030) and requires interest only payments, with the principal amount and any then unpaid interest due and payable at the end of the 10-year term. The Mezzanine Note has a stated 10-year term, though the agreement requires principal and interest payments monthly over approximately a 46-month payment period. Our debt issuance costs and debt discount are amortized using the straight-line basis which approximates the effective interest method.</w:t>
      </w:r>
    </w:p>
    <w:p>
      <w:pPr>
        <w:spacing w:after="0" w:line="21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January 2024, we repaid the entire outstanding balance under the Mezzanine Note. As of June 30, 2024, the total outstanding debt on the Senior Note was $34.2 million, net of $281,000 in capitalized debt issuance costs. Our total outstanding debt on the Senior Note is classified as held-for-sale and included in Long-term debt, net held for sale on our consolidated balance sheets. See Note 4—Assets Held for Sale for further information.</w:t>
      </w:r>
    </w:p>
    <w:p>
      <w:pPr>
        <w:spacing w:after="0" w:line="20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Senior Note includes certain financial and non-financial covenants and are secured by our corporate headquarters and the related land and rank senior to stockholders. The financial covenants require that Beyond maintain a net worth in excess of $15.0 million and minimum liquid assets of $1.0 million for the remainder of the term that the Senior Note is outstanding. We are in compliance with our debt covenants and continue to monitor our ongoing compliance with our debt covenants.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have operating leases for a warehouse, office space, and data centers. Our leases have remaining lease terms of one year to three years, some of which may include options to extend the leases perpetually, and some of which may include options to terminate the leases within one year. Variable lease costs include executory costs, such as taxes, insurance, and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49"/>
        </w:trPr>
        <w:tc>
          <w:tcPr>
            <w:tcW w:w="5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components of lease expenses were as follows (in thousands):</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6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12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20"/>
                <w:szCs w:val="20"/>
                <w:color w:val="auto"/>
              </w:rPr>
            </w:pPr>
          </w:p>
        </w:tc>
      </w:tr>
      <w:tr>
        <w:trPr>
          <w:trHeight w:val="225"/>
        </w:trPr>
        <w:tc>
          <w:tcPr>
            <w:tcW w:w="128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234"/>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other information related to leases (in thousands):</w:t>
      </w:r>
    </w:p>
    <w:p>
      <w:pPr>
        <w:spacing w:after="0" w:line="133"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40" w:type="dxa"/>
            <w:vAlign w:val="bottom"/>
            <w:tcBorders>
              <w:bottom w:val="single" w:sz="8" w:color="CCEEFF"/>
            </w:tcBorders>
          </w:tcPr>
          <w:p>
            <w:pPr>
              <w:spacing w:after="0"/>
              <w:rPr>
                <w:sz w:val="20"/>
                <w:szCs w:val="20"/>
                <w:color w:val="auto"/>
              </w:rPr>
            </w:pPr>
          </w:p>
        </w:tc>
        <w:tc>
          <w:tcPr>
            <w:tcW w:w="40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included in operating cash flows from lease arrangements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1,657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3,023</w:t>
            </w:r>
          </w:p>
        </w:tc>
      </w:tr>
      <w:tr>
        <w:trPr>
          <w:trHeight w:val="554"/>
        </w:trPr>
        <w:tc>
          <w:tcPr>
            <w:tcW w:w="80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supplemental balance sheet information related to leases: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8"/>
        </w:trPr>
        <w:tc>
          <w:tcPr>
            <w:tcW w:w="3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740" w:type="dxa"/>
            <w:vAlign w:val="bottom"/>
            <w:tcBorders>
              <w:bottom w:val="single" w:sz="8" w:color="CCEEFF"/>
            </w:tcBorders>
          </w:tcPr>
          <w:p>
            <w:pPr>
              <w:spacing w:after="0"/>
              <w:rPr>
                <w:sz w:val="20"/>
                <w:szCs w:val="20"/>
                <w:color w:val="auto"/>
              </w:rPr>
            </w:pPr>
          </w:p>
        </w:tc>
        <w:tc>
          <w:tcPr>
            <w:tcW w:w="40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term—operating leases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years</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years</w:t>
            </w:r>
          </w:p>
        </w:tc>
      </w:tr>
      <w:tr>
        <w:trPr>
          <w:trHeight w:val="234"/>
        </w:trPr>
        <w:tc>
          <w:tcPr>
            <w:tcW w:w="8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1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549"/>
        </w:trPr>
        <w:tc>
          <w:tcPr>
            <w:tcW w:w="972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Maturity of lease liabilities under our non-cancellable operating leases as of June 30, 2024, are as follows (in thousands):</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5"/>
        </w:trPr>
        <w:tc>
          <w:tcPr>
            <w:tcW w:w="8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23"/>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434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8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r>
      <w:tr>
        <w:trPr>
          <w:trHeight w:val="223"/>
        </w:trPr>
        <w:tc>
          <w:tcPr>
            <w:tcW w:w="80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48"/>
        </w:trPr>
        <w:tc>
          <w:tcPr>
            <w:tcW w:w="80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25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litigation concerning consumer protection, employment, intellectual property, claims under the securities laws, and other commercial matters related to the conduct and operation of our business and the sale of products on our websites. In connection with such litigation, we have been in the past and we may be in the future subject to significant damages. In some instances, other parties may have contractual indemnification obligations to us. However, such contractual obligations may prove unenforceable or non-collectible, and if we cannot enforce or collect on indemnification obligations, we may bear the full responsibility for damages, fees, and costs resulting from such litigation. We may also be subject to penalties and equitable remedies that could force us to alter important business practices.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The nature of the loss contingencies relating to claims that have been asserted against us are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in October 2019, we received a subpoena from the SEC requiring us to produce documents and other information related to the Series A-1 Preferred stock dividend we announced to stockholders in June 2019 and requesting copies of trading plans ("10b5-1 plans") intended to comply with Rule 10b5-1 of the Securities and Exchange Act of 1934, as amended (the "Exchange Act") entered into by certain officers and directors. In December 2019, we received a subpoena from the SEC requesting our insider trading policies and certain employment and consulting agreements. We also received requests from the SEC for our communications with our former Chief Executive Officer and Director, Patrick Byrne, and the matters referenced in the December 2019 subpoenas. In January 2021, we received a subpoena from the SEC requesting information regarding our retail guidance in 2019 and certain communications with current and former executives, board members, and investors. We have continued to receive requests from the SEC related to the matters referenced in the December 2019 subpoenas. We continue to cooperate with the SEC on these matters.</w:t>
      </w: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September 27, 2019, a purported securities class action lawsuit was filed against us and our former Chief Executive Officer and former Chief Financial Officer in the United States District Court of Utah, alleging violations under Section 10(b), Rule 10b-5, Section 20(a), and Section 20A of the Exchange Act. On October 8, 2019, October 17, 2019, October 31, 2019, and November 20, 2019, four similar lawsuits were filed in the same court also naming us and the above referenced former executives as defendants, bringing similar claims under the Exchange Act, and seeking similar relief. These cases were consolidated into a single lawsuit in December 2019. The Court appointed The Mangrove Partners Master Fund Ltd. as lead plaintiff in January 2020. In March 2020, an amended consolidated complaint was filed against us, our former Overstock President (now current President of Beyond, Inc.), our former Chief Executive Officer, and our former Chief Financial Officer. We filed a motion to dismiss and, on September 28, 2020, the court granted our motion and entered judgment in our favor. The plaintiffs filed a motion to amend their complaint on October 23, 2020. The United States District Court of Utah granted the plaintiffs' motion to amend their complaint on January 6, 2021. The plaintiffs filed their amended complaint on January 11, 2021. We filed a motion to dismiss plaintiffs' amended complaint, and on September 20, 2021, the court granted our motion and entered judgment in our favor. On October 18, 2021, the plaintiffs filed a Notice of Appeal, appealing the ruling of the district court to the United States Court of Appeals for the Tenth Circuit. We are awaiting a ruling from the Tenth Circuit that heard oral argument on the appeal on February 9, 2023. No estimates of the possible losses or range of losses can be made at this time. We intend to continue to vigorously defend this consolidated action.</w:t>
      </w:r>
    </w:p>
    <w:p>
      <w:pPr>
        <w:spacing w:after="0" w:line="21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November 22, 2019, a shareholder derivative suit was filed against us and certain past and present directors and officers of ours in the United States District Court for the District of Delaware, with allegations that include: (i) breach of fiduciary duties, (ii) unjust enrichment, (iii) insider selling and misappropriation of the Company's information, and (iv) contribution under Sections 10(b) and 21D of the Exchange Act. On December 17, 2019, a similar lawsuit was filed in the same court, naming the same defendants, bringing similar claims, and seeking similar relief. These cases were consolidated into a single lawsuit in January 2020. In March 2020, the court entered a stay on litigation, pending the outcome of the securities class action motion to dismiss. The case remains stayed pending the outcome of the plaintiffs' appeal to the Tenth Circuit in the securities class action mentioned above. No estimates of the possible losses or range of losses can be made at this time. We intend to vigorously defend these actions.</w:t>
      </w:r>
    </w:p>
    <w:p>
      <w:pPr>
        <w:spacing w:after="0" w:line="18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establish liabilities when a particular contingency is probable and estimable which are included in Accrued liabilities on our consolidated balance sheets. At June 30, 2024 and December 31, 2023, our established liabilities were not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INDEMNIFICATIONS AND GUARANTEES</w:t>
      </w:r>
    </w:p>
    <w:p>
      <w:pPr>
        <w:spacing w:after="0" w:line="229"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7"/>
          <w:szCs w:val="17"/>
          <w:color w:val="auto"/>
        </w:rPr>
        <w:t>During our normal course of business, we have made certain indemnities, commitments, and guarantees under which we may be required to make payments in relation to certain transactions. These indemnities include, but are not limited to, indemnities we entered into in favor of Loan Core Capital Funding Corporation LLC under our building loan agreements, various lessors in connection with facility leases for certain claims arising from such facility or lease, the environmental indemnity we entered into in favor of the lenders under our prior loan agreements, customary indemnification arrangements in underwriting agreements and similar agreements, and indemnities to our directors and officers to the maximum extent permitted under the laws of the State of Delaware. The duration of these indemnities, commitments, and guarantees varies, and in certain cases, is indefinite. In addition, the majority of these indemnities, commitments, and guarantees do not provide for any limitation of the maximum potential future payments we could be obligated to make. As such, we are unable to estimate with any reasonableness our potential exposure under these items. We have not recorded any liability for these indemnities, commitments, and guarantees in the accompanying consolidated balance sheets. We do, however, accrue losses for any known contingent liability, including those that may arise from indemnification provisions, when future payment is both probable and reasonably estimable.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54"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Each share of common stock has the right to one vote. The holders of common stock are also entitled to receive dividends declared by the Board of Directors out of funds legally available, subject to prior rights of holders of all classes of stock outstanding having priority rights as to dividends.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JonesTrading Sales Agreement</w:t>
      </w:r>
    </w:p>
    <w:p>
      <w:pPr>
        <w:spacing w:after="0" w:line="251"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We entered into a Capital on Demand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Sales Agreement (the "Sales Agreement") dated June 10, 2024 with JonesTrading Institutional Services LLC ("JonesTrading"), under which we may conduct "at the market" public offerings of our common stock. Under the Sales Agreement, JonesTrading, acting as our sales agent or principal, may offer our common stock in the market on a daily basis or otherwise as we request from time to time. We have no obligation to sell shares under the Sales Agreement, but we may do so from time to time. For the three and six months ended June 30, 2024, we did not sell any shares of our common stock pursuant to the Sales Agreement. As of June 30, 2024, we had $200.0 million available under our "at the market" sales program.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5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we did not repurchase any shares of our common stock under our stock repurchase program. As of June 30, 2024, we had $69.9 million available for future share repurchases under our current repurchase authorization through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AWARDS</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have equity incentive and compensatory plans that provide for the grant of stock-based awards, including restricted stock and performance shares to employees and board members and provide employees the ability to purchase shares of our common stock through an employee stock purchase plan. Employee accounting applies to equity incentives and compensation granted by the Company to its own employees. When an award is forfeited prior to the vesting date, we recognize an adjustment for the previously recognized expense in the period of the forfeiture.</w:t>
      </w:r>
    </w:p>
    <w:p>
      <w:pPr>
        <w:spacing w:after="0" w:line="207"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classified within the corresponding operating expense categories on our consolidated statements of operations as follows (in thousands):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22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5"/>
        </w:trPr>
        <w:tc>
          <w:tcPr>
            <w:tcW w:w="56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2,028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2,955</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3,412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w:t>
            </w: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5,259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6,270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Beyond restricted stock unit awards</w:t>
      </w:r>
    </w:p>
    <w:p>
      <w:pPr>
        <w:spacing w:after="0" w:line="254"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The Beyond, Inc. Amended and Restated 2005 Equity Incentive Plan provides for the grant of restricted stock units and other types of equity awards to employees and directors of the Company. The Compensation Committee of the Board of Directors approves grants of restricted stock unit awards to our officers, board members and employees. These restricted stock unit awards generally vest over three years at 33.3% at the end of the first year,</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33.3% at the end of the second year and 33.4% at the end of the third year, subject to the recipient's continuing service to us. During the first quarter of fiscal 2024, we changed our vesting schedule for newly granted restricted stock units from three years to four years. These restricted stock unit awards will vest at 25% each year. For the six months ended June 30, 2024, we granted 256,064 restricted stock awards with a cumulative grant date fair value of $7.7 million under the new vesting schedule.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cost of restricted stock units is determined using the fair value of our common stock on the date of the grant and compensation expense is either recognized on a straight-line basis over the vesting schedule or on an accelerated schedule when vesting of restricted stock awards exceeds a straight-line basis. The cumulative amount of compensation expense recognized at any point in time is at least equal to the portion of the grant date fair value of the award that is vested at that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Shares</w:t>
      </w:r>
    </w:p>
    <w:p>
      <w:pPr>
        <w:spacing w:after="0" w:line="25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During the six months ended June 30, 2024, we granted 1,472,500 performance-based shares ("PSUs") to our executive management team. A portion of each grant of PSUs (25%) is eligible to vest based on our net revenue performance and the remaining portion (75%) is eligible to vest based on our stock price performance. The PSUs tied to stock price performance will be eligible to vest in three installments upon the achievement of three separate stock price hurdles during the three-year period following the grant date, with 33% of the PSUs earned if the average per-share closing price of our common stock over any 20 consecutive trading day period equals or exceeds $40.00 per share (but in no event prior to the first anniversary of the grant date), 33% of the PSUs earned if the average per-share closing price of our common stock over any 20 consecutive trading day period equals or exceeds $50.00 per share (but in no event prior to the second anniversary of the grant date), and 34% of the PSUs earned if the average per share closing price of our common stock over any 20 consecutive trading day period equals or exceeds $60.00 per share (but in no event prior to the third anniversary of the grant date), in each case subject to the recipient’s continued service through the vesting date. If a stock price hurdle is not achieved during the three years following the grant date, the portion of the award tied to such stock price hurdle will be forfeited.</w:t>
      </w:r>
    </w:p>
    <w:p>
      <w:pPr>
        <w:spacing w:after="0" w:line="2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PSUs tied to net revenue performance will vest based on our net revenue over three years, with one-third of the PSUs eligible to vest on each of the first, second, and third anniversaries of the grant date, subject to the recipient’s continued service through the vesting date. To be eligible to vest in any tranche of the PSUs tied to net revenue performance, we must meet the GAAP net revenue goal established for the applicable year.</w:t>
      </w:r>
    </w:p>
    <w:p>
      <w:pPr>
        <w:spacing w:after="0" w:line="20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the portion of the PSUs that vest based on our net revenue performance, we recognize expense as compensation cost, the fair value on the date of grant over the performance period, taking into account the probability that we will satisfy the performance goals. For the portion of the PSUs that vest based on stock price hurdles, which is a market condition, we use a Monte Carlo valuation model to estimate the fair value as of the date of grant and expense compensation cost over the vesting period regardless of whether the market condition is ultimately satisfied.</w:t>
      </w:r>
    </w:p>
    <w:p>
      <w:pPr>
        <w:spacing w:after="0" w:line="20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related to the PSUs is included in the stock-based compensation expense table above combined with the expense associated with our restricted stock units, performance share options, and ESPP. Stock-based compensation related to the PSUs was $1.8 million and $3.3 million for the three and six months ended June 30, 2024,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Options</w:t>
      </w:r>
    </w:p>
    <w:p>
      <w:pPr>
        <w:spacing w:after="0" w:line="25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During the six months ended June 30, 2024, we granted a performance-based option to purchase 2,250,000 shares of our common stock to our Executive Chairman of the Board of Directors (the "Performance Share Option"). The Performance Share Option will be eligible to vest in three installments upon the achievement of three separate stock price hurdles during the four-year period following the grant date, with 500,000 of the shares subject to the Performance Share Option, having an exercise price of $45.00 per share, becoming vested if the average per-share closing price of our common stock over any 20 consecutive trading day period following the grant date but on or prior to the second anniversary of the grant date equals or exceeds $45.00 per share (but in no event will this tranche vest prior to the first anniversary of the grant date); 750,000 of the shares subject to the Performance Share Option, having an exercise price of $50.00 per share, becoming vested if the average per-share closing price of our common stock over any 20 consecutive trading day period following the grant date but on or prior to the third anniversary of the grant date equals or exceeds $50.00 per share (but in no event will this tranche vest prior to the second anniversary of the grant date); and 1,000,000 of the shares subject to the Performance Share Option, having an exercise price of $60.00 per share, becoming vested if the average per-share closing price of our common stock over any 20 consecutive trading day period following the grant date but on or prior to the fourth anniversary of the grant date equals or exceeds $60.00 per share (but in no event will this tranche vest prior to the third anniversary of the grant date), in each case subject to the Executive Chairman's continued service through the vesting date. If a stock price hurdle is not achieved during the performance period following the grant date, the portion of the award tied to such stock price hurdle will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Performance Share Option is determined using a Monte Carlo valuation model to estimate the fair value as of the date of grant and we will expense compensation cost over the vesting period regardless of whether the market condition is ultimately satisfied.</w:t>
      </w:r>
    </w:p>
    <w:p>
      <w:pPr>
        <w:spacing w:after="0" w:line="18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related to the Performance Share Option is included in stock-based compensation expense table above combined with the expense associated with our restricted stock units, PSUs, and ESPP. Stock-based compensation related to the performance share options was $438,000 for each of the three and six months ended June 30, 2024.</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unit, PSU, and Performance Share Option award activity (in thousands, except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3160" w:type="dxa"/>
            <w:vAlign w:val="bottom"/>
            <w:gridSpan w:val="5"/>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8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171"/>
        </w:trPr>
        <w:tc>
          <w:tcPr>
            <w:tcW w:w="8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30"/>
              <w:spacing w:after="0" w:line="171"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8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0"/>
        </w:trPr>
        <w:tc>
          <w:tcPr>
            <w:tcW w:w="8080" w:type="dxa"/>
            <w:vAlign w:val="bottom"/>
          </w:tcPr>
          <w:p>
            <w:pPr>
              <w:spacing w:after="0"/>
              <w:rPr>
                <w:sz w:val="15"/>
                <w:szCs w:val="15"/>
                <w:color w:val="auto"/>
              </w:rPr>
            </w:pPr>
          </w:p>
        </w:tc>
        <w:tc>
          <w:tcPr>
            <w:tcW w:w="10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8"/>
        </w:trPr>
        <w:tc>
          <w:tcPr>
            <w:tcW w:w="80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Outstanding—beginning of year</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0" w:type="dxa"/>
            <w:vAlign w:val="bottom"/>
          </w:tcPr>
          <w:p>
            <w:pPr>
              <w:spacing w:after="0"/>
              <w:rPr>
                <w:sz w:val="1"/>
                <w:szCs w:val="1"/>
                <w:color w:val="auto"/>
              </w:rPr>
            </w:pPr>
          </w:p>
        </w:tc>
      </w:tr>
      <w:tr>
        <w:trPr>
          <w:trHeight w:val="230"/>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at fair value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29"/>
        </w:trPr>
        <w:tc>
          <w:tcPr>
            <w:tcW w:w="9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29"/>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48"/>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Outstanding—end of period</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34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54" w:lineRule="exact"/>
        <w:rPr>
          <w:sz w:val="20"/>
          <w:szCs w:val="20"/>
          <w:color w:val="auto"/>
        </w:rPr>
      </w:pPr>
    </w:p>
    <w:p>
      <w:pPr>
        <w:ind w:right="140" w:firstLine="693"/>
        <w:spacing w:after="0" w:line="266" w:lineRule="auto"/>
        <w:rPr>
          <w:sz w:val="20"/>
          <w:szCs w:val="20"/>
          <w:color w:val="auto"/>
        </w:rPr>
      </w:pPr>
      <w:r>
        <w:rPr>
          <w:rFonts w:ascii="Times New Roman" w:cs="Times New Roman" w:eastAsia="Times New Roman" w:hAnsi="Times New Roman"/>
          <w:sz w:val="18"/>
          <w:szCs w:val="18"/>
          <w:color w:val="auto"/>
        </w:rPr>
        <w:t>Purchases under the 2021 Employee Stock Purchase Plan (the "ESPP") during the six months ended June 30, 2024 and 2023 were 56,575 shares and 68,011 shares, respectively, at an average purchase price per share of $16.53 and $16.46, respectively. At June 30, 2024, approximately 2.7 million shares of common stock remained available under the ESPP.</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related to the ESPP is included in the stock-based compensation expense table above combined with the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our restricted stock units, PSUs, and performance share options. Stock-based compensation related to the ESPP was $305,000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$515,000 for the three months ended June 30, 2024 and 2023, respectively, and $651,000 and $1.1 million for the six months ended June 30,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REVENUE AND CONTRACT LIABILITY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Unearned Revenue</w:t>
      </w:r>
    </w:p>
    <w:p>
      <w:pPr>
        <w:spacing w:after="0" w:line="254"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unearned revenue from contracts with customers, including significant changes in unearned revenue balances during the periods presented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at December 31,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44,480</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due to deferral of revenue at period end, net</w:t>
            </w:r>
          </w:p>
        </w:tc>
        <w:tc>
          <w:tcPr>
            <w:tcW w:w="440" w:type="dxa"/>
            <w:vAlign w:val="bottom"/>
          </w:tcPr>
          <w:p>
            <w:pPr>
              <w:spacing w:after="0"/>
              <w:rPr>
                <w:sz w:val="19"/>
                <w:szCs w:val="19"/>
                <w:color w:val="auto"/>
              </w:rPr>
            </w:pPr>
          </w:p>
        </w:tc>
        <w:tc>
          <w:tcPr>
            <w:tcW w:w="17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6"/>
              </w:rPr>
              <w:t>35,290</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due to beginning contract liabilities recognized as revenue</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(30,173)</w:t>
            </w:r>
          </w:p>
        </w:tc>
      </w:tr>
      <w:tr>
        <w:trPr>
          <w:trHeight w:val="22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 at December 31, 2023</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w w:val="96"/>
              </w:rPr>
              <w:t>49,597</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deferral of revenue at period end, net</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30,719</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due to beginning contract liabilities recognized as revenue</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color w:val="auto"/>
              </w:rPr>
              <w:t>(32,510)</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at June 30, 2024</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47,806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unearned revenue related to outstanding loyalty program rewards was $13.6 million and $12.1 million at June 30, 2024</w:t>
      </w:r>
    </w:p>
    <w:p>
      <w:pPr>
        <w:spacing w:after="0" w:line="27"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and December 31, 2023, respectively. Breakage income related to loyalty program rewards and gift cards is recognized in Net revenue in our consolidated statements of operations. Breakage included in revenue was $2.1 million and $1.0 million for the three months ended June 30, 2024 and 2023, respectively, and $3.4 million and $1.9 million for the six months ended June 30, 2024 and 2023, respectively. The timing of revenue recognition of these reward dollars is driven by</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actual customer activities, such as redemptions and expirations. At June 30, 2024 and December 31, 2023, we had an additional $5.1 million and $5.6 million, respectively, of unearned contract revenue classified within Other long-term liabilities on our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 allowance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additions to and deductions from the sales returns allowance, which is included in our Accrued liabilities balance in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our consolidated balance sheets (in thousands):</w:t>
            </w: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3"/>
        </w:trPr>
        <w:tc>
          <w:tcPr>
            <w:tcW w:w="906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returns at December 31,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10,222</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the allowance</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121,939</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the allowance</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(123,510)</w:t>
            </w:r>
          </w:p>
        </w:tc>
      </w:tr>
      <w:tr>
        <w:trPr>
          <w:trHeight w:val="22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returns at December 31, 2023</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8,651</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the allowance</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58,771</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Deductions from the allowance</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(58,310)</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returns at June 30, 2024</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 for the periods indicated (in thousands, except per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data):</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4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(73,493)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outstanding—basic</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outstanding—diluted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of common stock:</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shares were excluded from the calculation of diluted shares outstanding as their effect would have been anti-dilutive (in thousands):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224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PSUs, and Performance Share Option</w:t>
            </w:r>
          </w:p>
        </w:tc>
        <w:tc>
          <w:tcPr>
            <w:tcW w:w="8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4,109</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34"/>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provides information that we believe to be relevant to an understanding of our unaudited consolidated financial condition and results of operations. The statements in this section regarding industry outlook, our expectations regarding the performance of our business and any other non-historical statements are forward-looking statements. Our actual results and outcomes may differ materially from those contained in or implied by any forward-looking statements contained herein. These forward-looking statements are subject to numerous risks, uncertainties, and other important factors, including, but not limited to, those described in "Special Cautionary Note Regarding Forward Looking Statements" and in Part II, Item 1A, "Risk Factors" included in this Quarterly Report on Form 10-Q. You should read the following discussion together with our unaudited consolidated financial statements and related notes included in this Quarterly Report on Form 10-Q and with the sections entitled "Special Cautionary Note Regarding Forward-Looking Statements," Part I, Item 1A, "Risk Factors," and our consolidated financial statements and related notes included in our Annual Report on Form 10-K for the year ended December 31, 2023, filed with the SEC on February 23,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We are an ecommerce expert with a singular focus: connecting consumers with products and services that unlock their families' and homes' potential. As the owner of Bed Bath &amp; Beyond, Overstock, Zulily, and other related brands and associated intellectual property, our suite of online shopping brands features millions of products for various life stages that millions of customers visit each month. As used herein, "Beyond," "the Company," "we," "our" and similar terms include Beyond, Inc. and our controlled subsidiaries, unless the context indicates otherwise.</w:t>
      </w:r>
    </w:p>
    <w:p>
      <w:pPr>
        <w:spacing w:after="0" w:line="20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Through our Bed Bath &amp; Beyond brand, we aim to provide an extensive array of home-related products tailored specifically for our target customers—consumers who seek comprehensive support throughout their shopping journey, aspiring to discover quality, stylish products at competitive prices that align with their budget requirements. We regularly refresh our product assortment to reflect the evolving preferences of our customers and aim to stay aligned with current trends. The mission of this brand is to be a category-leading ownership of four distinct rooms of the home: the bedroom, the bathroom, the kitchen, and the patio, and our goal is for our assortment to include not only core legacy categories like bedding and kitchenware, but also adjacent categories like bedroom and outdoor furniture and rugs. Leveraging an asset-light supply chain, we offer direct shipping to customers from both our suppliers and our leased warehouse.</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Bed Bath &amp; Beyond's strategic priorities include assortment curation to elevate product quality levels and improve ease of selection, as well as the creation of specialized experiences centered around our target customers' key life events such as getting married, having a baby, sending a child to college or hosting Thanksgiving for the first time.</w:t>
      </w:r>
    </w:p>
    <w:p>
      <w:pPr>
        <w:spacing w:after="0" w:line="20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Through our Overstock brand, we aim to provide a wide array of quality goods at discounted prices. We aim to provide a treasure hunt-like experience for our target customers—consumers who are highly engaged and actively seeking great deals, and regularly refresh our featured deals. Our product assortment includes core legacy categories such as indoor and outdoor furniture, apparel and footwear, rugs, décor, lighting, jewelry and watches, sports and entertainment, as well as new categories including closeouts, liquidation, and factory direct, with plans to introduce additional categories in the near term.</w:t>
      </w:r>
    </w:p>
    <w:p>
      <w:pPr>
        <w:spacing w:after="0" w:line="21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Across both brands, we leverage our Beyond+ services platform where our customers can purchase add-on services such as warranties, shipping insurance, installation services, and gain access to home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Commentary</w:t>
      </w:r>
    </w:p>
    <w:p>
      <w:pPr>
        <w:spacing w:after="0" w:line="227"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executive commentary is intended to provide investors with a view of our business through the eyes of our management. As an executive commentary, it necessarily focuses on selected aspects of our business. This executive commentary is intended as a supplement to, but not a substitute for, the more detailed discussion of our business included elsewhere herein. Investors are cautioned to read our entire "Management's Discussion and Analysis of Financial Condition and Results of Operations," our interim and audited financial statements, and the discussion of our business and risk factors and other information included elsewhere or incorporated in this report. This executive commentary includes forward-looking statements, and investors are cautioned to read "Special Cautionary Note Regarding Forward-Looking Statements."</w:t>
      </w: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decreased 5.7% for the three months ended June 30, 2024, compared to the same period in 2023. This decrease was primarily due to a 13% decrease in average order value. The decrease was partially offset by an 8% increase in orders delivered. The decrease in average order value was largely driven by orders mixing into categories with lower average unit retail price. The increase in orders delivered was driven by growth in active customers, partially offset by macroeconomic factors impacting consumer sentiment and a shift in consumer spending preferences.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decreased 25.5% for the three months ended June 30, 2024, compared to the same period in 2023, primarily due to a decrease in gross margin. Gross margin decreased to 20.1% for the three months ended June 30, 2024, compared to 25.5% for the same period in 2023, primarily due to increased promotional discounting and carrier costs.</w:t>
      </w:r>
    </w:p>
    <w:p>
      <w:pPr>
        <w:spacing w:after="0" w:line="203"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as a percent of revenue increased from 11.7% for the three months ended June 30, 2023 to 16.7% for the three months ended June 30, 2024, primarily due to increased performance marketing expense and increased brand advertising.</w:t>
      </w:r>
    </w:p>
    <w:p>
      <w:pPr>
        <w:spacing w:after="0" w:line="20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Technology expenses totaled $27.3 million for the three months ended June 30, 2024, a $364,000 decrease compared to the three months ended June 30, 2023, primarily due to a reduction in staff-related expenses.</w:t>
      </w:r>
    </w:p>
    <w:p>
      <w:pPr>
        <w:spacing w:after="0" w:line="18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$3.1 million for the three months ended June 30, 2024 compared to the three months ended June 30, 2023, primarily due to a reduction in staff-related and third-party expenses.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Customer service and merchant fees increased $1.8 million for the three months ended June 30, 2024 compared to the three months ended June 30, 2023, primarily due to increased outsourced labor as a result of increased order volume and increased credit card costs driven by a shift in payment mix and increased order volume.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consolidated cash and cash equivalents balance decreased from $302.6 million as of December 31, 2023, to $186.2 million as of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commentary related to macroeconomic trends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continue to monitor recent macroeconomic trends, including, but not limited to, geopolitical events, including the upcoming U.S. presidential election, higher interest rates, and inflation. These events have and may continue to negatively impact consumer confidence and consumer spending, which have and may continue to adversely affect our business and our results of operations. Due to the uncertain and constantly evolving nature and volatility created by these disruptions to global economic activities, we cannot currently predict the long-term impact of these events on our operations and financial results. As of June 30, 2024, the challenges arising from these events have not adversely affected our liquidity or capacity to service our debt, nor have these conditions required us to reduce our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Comparisons of Three Months Ended June 30, 2024 to Three Months Ended June 30, 2023, and Six Months Ended June 30, 2024 to Six Months Ended June 30,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 cost of goods sold, gross profit and gross margin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net revenue, cost of goods sold, and gross profit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62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r>
      <w:tr>
        <w:trPr>
          <w:trHeight w:val="225"/>
        </w:trPr>
        <w:tc>
          <w:tcPr>
            <w:tcW w:w="5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398,104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422,211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780,385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803,351</w:t>
            </w:r>
          </w:p>
        </w:tc>
      </w:tr>
      <w:tr>
        <w:trPr>
          <w:trHeight w:val="230"/>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 (1)</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costs and other cost of goods sold</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317,936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314,642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625,858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594,098</w:t>
            </w:r>
          </w:p>
        </w:tc>
      </w:tr>
      <w:tr>
        <w:trPr>
          <w:trHeight w:val="223"/>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 (1)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80,168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107,569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154,527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209,253</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14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r>
      <w:tr>
        <w:trPr>
          <w:trHeight w:val="229"/>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revenue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 of net revenue</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 (1)</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costs and other cost of goods sold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74.0 %</w:t>
            </w:r>
          </w:p>
        </w:tc>
      </w:tr>
      <w:tr>
        <w:trPr>
          <w:trHeight w:val="23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980" w:right="100" w:hanging="324"/>
        <w:spacing w:after="0" w:line="256" w:lineRule="auto"/>
        <w:tabs>
          <w:tab w:leader="none" w:pos="10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fiscal 2024, we changed our presentation for merchant fees associated with customer payments made by credit cards and other payment methods and customer service costs. Under the new presentation, we include such expenses in a separate line in operating expenses labeled, "Customer service and merchant fees," whereas previously, these expenses were included in "Merchant fees, customer service, and other" as a component of Cost of goods sold. See Note 2—Summary of Significant Accounting Policies, in the Notes to Unaudited Consolidated Financial Statements included in Item 1, Part I, Financial Statements (Unaudited) of this Quarterly Report on Form 10-Q.</w:t>
      </w:r>
    </w:p>
    <w:p>
      <w:pPr>
        <w:spacing w:after="0" w:line="21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5.7% decrease in net revenue for the three months ended June 30, 2024, as compared to the same period in 2023, was primarily due to a 13% decrease in average order value. The decrease was partially offset by an 8% increase in orders delivered. The decrease in average order value was largely driven by orders mixing into categories with lower average unit retail price. The increase in orders delivered was driven by growth in active customers, partially offset by macroeconomic factors impacting consumer sentiment and a shift in consumer spending preferences.</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2.9% decrease in net revenue for the six months ended June 30, 2024, as compared to the same period in 2023, was primarily due to a 17% decrease in average order value. The decrease was partially offset by an 18% increase in orders delivered. The decrease in average order value was largely driven by orders mixing into categories with lower average unit retail price. The increase in orders delivered was driven by growth in active customers, partially offset by macroeconomic factors impacting consumer sentiment and a shift in consumer spending preferences.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International net revenues were less than 6% of total net revenues for each of the three and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estimate of average transit times (days)</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revenue related to merchandise sales is recognized upon delivery to our customers. As we ship high volumes of packages through multiple carriers, it is not practical for us to track the actual delivery date of each shipment. Therefore, we use estimates to determine which shipments are delivered and, therefore, recognized as revenue at the end of the period. Our delivery date estimates are based on average shipping transit times. We review and update our estimates on a quarterly basis based on our actual transit time experience. However, actual shipping times may differ from our estimates, which can be further impacted by uncertainty, volatility, and any disruption to our carriers caused by certain macroeconomic conditions, such as supply chain challenges, inflation, rising interest rates, climate and weather events, or geopolitical events.</w:t>
      </w:r>
    </w:p>
    <w:p>
      <w:pPr>
        <w:spacing w:after="0" w:line="18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that hypothetical changes in the estimate of average shipping transit times would have had on the reported amount of revenue and income before income taxes (in thousands):</w:t>
      </w:r>
    </w:p>
    <w:p>
      <w:pPr>
        <w:spacing w:after="0" w:line="69"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53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the Estimate of Average Transit Times (Days)</w:t>
            </w:r>
          </w:p>
        </w:tc>
        <w:tc>
          <w:tcPr>
            <w:tcW w:w="42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2"/>
          </w:tcPr>
          <w:p>
            <w:pPr>
              <w:jc w:val="center"/>
              <w:ind w:right="5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Increase (Decrease)</w:t>
            </w:r>
          </w:p>
        </w:tc>
        <w:tc>
          <w:tcPr>
            <w:tcW w:w="24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jc w:val="right"/>
              <w:ind w:right="610"/>
              <w:spacing w:after="0" w:line="182" w:lineRule="exact"/>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532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2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40" w:type="dxa"/>
            <w:vAlign w:val="bottom"/>
          </w:tcPr>
          <w:p>
            <w:pPr>
              <w:spacing w:after="0"/>
              <w:rPr>
                <w:sz w:val="21"/>
                <w:szCs w:val="21"/>
                <w:color w:val="auto"/>
              </w:rPr>
            </w:pPr>
          </w:p>
        </w:tc>
        <w:tc>
          <w:tcPr>
            <w:tcW w:w="26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4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As reported</w:t>
            </w:r>
          </w:p>
        </w:tc>
        <w:tc>
          <w:tcPr>
            <w:tcW w:w="24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As reported</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5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overall gross margins fluctuate based on factors such as competitive pricing; product costs; discounting; product mix of sales; advertising revenue and our marketing allowance program; and operational and fulfillment costs which include costs incurred to operate and staff our warehouses, including rent and depreciation expense associated with these facilities, costs to receive, inspect, pick, and prepare customer order for delivery, and direct and indirect labor costs including payroll, payroll-related benefits, and stock-based compensation, all of which we include as costs in calculating gross margin.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for the past six quarterly periods and fiscal year ending 2023 were: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Q1 2023</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Q2 2023</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Q3 2023</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FY 2023</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Q2 2024</w:t>
            </w: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r>
    </w:tbl>
    <w:p>
      <w:pPr>
        <w:spacing w:after="0" w:line="3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Gross profit for the three months ended June 30, 2024 decreased 25.5% compared to the same period in 2023, primarily due to a decrease in gross margin. Gross margin decreased to 20.1% for the three months ended June 30, 2024, compared to 25.5% for the same period in 2023, primarily due to increased promotional discounting and carrier costs.</w:t>
      </w:r>
    </w:p>
    <w:p>
      <w:pPr>
        <w:spacing w:after="0" w:line="20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Gross profit for the six months ended June 30, 2024 decreased 26.2% compared to the same period in 2023, primarily due to a decrease in gross margin. Gross margin decreased to 19.8% for the six months ended June 30, 2024, compared to 26.0% for the same period in 2023, primarily due to increased promotional discounting and carrier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54"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use a variety of online advertising channels to attract new and repeat customers, including search engine marketing, personalized emails, mobile app, loyalty program, affiliate marketing, display banners, and social media. We also build our brand awareness through linear and streaming TV advertising.</w:t>
      </w:r>
    </w:p>
    <w:p>
      <w:pPr>
        <w:spacing w:after="0" w:line="20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Costs associated with our discounted shipping and other promotions, such as coupons, are not included in sales and marketing expenses. Rather, they are accounted for as a reduction in revenue as they reduce the amount of consideration we expect to receive in exchange for goods or services and therefore affect net revenues and gross margin. We consider these promotions to be an effective marketing tool.</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sales and marketing expenses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17"/>
                <w:szCs w:val="17"/>
                <w:color w:val="auto"/>
              </w:rPr>
            </w:pPr>
          </w:p>
        </w:tc>
        <w:tc>
          <w:tcPr>
            <w:tcW w:w="26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5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20"/>
                <w:szCs w:val="20"/>
                <w:color w:val="auto"/>
              </w:rPr>
            </w:pPr>
          </w:p>
        </w:tc>
      </w:tr>
      <w:tr>
        <w:trPr>
          <w:trHeight w:val="225"/>
        </w:trPr>
        <w:tc>
          <w:tcPr>
            <w:tcW w:w="5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66,290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134,196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96,290</w:t>
            </w: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expense included in sales and marketing expenses</w:t>
            </w: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63,583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46,883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128,543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91,689</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 expense included in sales and marketing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net revenue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34"/>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expense included in sales and marketing expenses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r>
    </w:tbl>
    <w:p>
      <w:pPr>
        <w:spacing w:after="0" w:line="27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500 basis point increase in sales and marketing expenses as a percent of net revenue for the three months ended June 30, 2024, as compared to the same period in 2023, was primarily due to increased performance marketing expense and increased brand advertising.</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520 basis point increase in sales and marketing expenses as a percent of net revenue for the six months ended June 30, 2024, as compared to the same period in 2023, was primarily due to increased performance marketing expense and increased brand advertising.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expenses</w:t>
      </w:r>
    </w:p>
    <w:p>
      <w:pPr>
        <w:spacing w:after="0" w:line="227"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We seek to deploy our capital resources efficiently in technology to support operations, including private and public cloud, web services, customer support solutions, and product search. We aim to enhance the customer experience by investing in technology, including investing in machine learning algorithms and generative AI, improving our process automation and efficiency, modernizing and expanding our systems, and supporting and expanding our logistics infrastructure. We expect to continue to incur technology expenses to support these efforts and these expenditures may continue to be material.</w:t>
      </w:r>
    </w:p>
    <w:p>
      <w:pPr>
        <w:spacing w:after="0" w:line="19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frequency and variety of cyberattacks on our websites, enterprise systems, services, and on third parties we use to support our technology continues to increase. The impact of such attacks, their costs, and the costs we incur to protect ourselves against future attacks, have not been material to date. However, we consider the risk introduced by cyberattacks to be serious and will continue to incur costs related to efforts to protect ourselves against them.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technology expenses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18"/>
                <w:szCs w:val="18"/>
                <w:color w:val="auto"/>
              </w:rPr>
            </w:pPr>
          </w:p>
        </w:tc>
        <w:tc>
          <w:tcPr>
            <w:tcW w:w="26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5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20"/>
                <w:szCs w:val="20"/>
                <w:color w:val="auto"/>
              </w:rPr>
            </w:pPr>
          </w:p>
        </w:tc>
      </w:tr>
      <w:tr>
        <w:trPr>
          <w:trHeight w:val="225"/>
        </w:trPr>
        <w:tc>
          <w:tcPr>
            <w:tcW w:w="5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56,923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58,252</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expenses as a percent of net revenue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bl>
    <w:p>
      <w:pPr>
        <w:spacing w:after="0" w:line="314"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$0.4 million decrease in technology expenses for the three months ended June 30, 2024, as compared to the same period in 2023, was primarily due to a reduction in staff-related expenses.</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$1.3 million decrease in technology expenses for the six months ended June 30, 2024, as compared to the same period in 2023, was primarily due to a reduction in staff-related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17"/>
                <w:szCs w:val="17"/>
                <w:color w:val="auto"/>
              </w:rPr>
            </w:pPr>
          </w:p>
        </w:tc>
        <w:tc>
          <w:tcPr>
            <w:tcW w:w="26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5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20"/>
                <w:szCs w:val="20"/>
                <w:color w:val="auto"/>
              </w:rPr>
            </w:pPr>
          </w:p>
        </w:tc>
      </w:tr>
      <w:tr>
        <w:trPr>
          <w:trHeight w:val="225"/>
        </w:trPr>
        <w:tc>
          <w:tcPr>
            <w:tcW w:w="5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38,985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42,156</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 as a percent of net revenue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bl>
    <w:p>
      <w:pPr>
        <w:spacing w:after="0" w:line="30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$3.1 million decrease in general and administrative expenses for the three months ended June 30, 2024, as compared to the same period in 2023, was primarily due to a reduction in staff-related and third-party expenses.</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$3.2 million decrease in general and administrative expenses for the six months ended June 30, 2024, as compared to the same period in 2023, was primarily due to a reduction in staff-related and third-party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service and merchant fees</w:t>
      </w:r>
    </w:p>
    <w:p>
      <w:pPr>
        <w:spacing w:after="0" w:line="25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the first quarter of fiscal 2024, we changed our presentation for merchant fees associated with customer payments made by credit cards and other payment methods and customer service costs. Under the new presentation, we include such expenses in a separate line in operating expenses labeled, "Customer service and merchant fees," whereas previously, these expenses were included in Cost of goods sold. See Note 2—Summary of Significant Accounting Policies, in the Notes to Unaudited Consolidated Financial Statements included in Item 1, Part I, Financial Statements (Unaudited) of this Quarterly Report on Form 10-Q.</w:t>
      </w:r>
    </w:p>
    <w:p>
      <w:pPr>
        <w:spacing w:after="0" w:line="210"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Customer service and merchant fees include customer service costs and merchant processing fees associated with customer payments made by credit cards and other payment methods and other variable fees. Customer service and merchant fees as a percent of net revenue may vary due to several factors, such as our ability to effectively manage customer service costs and merchant fees.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customer service and merchant fees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18"/>
                <w:szCs w:val="18"/>
                <w:color w:val="auto"/>
              </w:rPr>
            </w:pPr>
          </w:p>
        </w:tc>
        <w:tc>
          <w:tcPr>
            <w:tcW w:w="262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5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20"/>
                <w:szCs w:val="20"/>
                <w:color w:val="auto"/>
              </w:rPr>
            </w:pPr>
          </w:p>
        </w:tc>
      </w:tr>
      <w:tr>
        <w:trPr>
          <w:trHeight w:val="225"/>
        </w:trPr>
        <w:tc>
          <w:tcPr>
            <w:tcW w:w="5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service and merchant fees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25,168</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service and merchant fees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service and merchant fees as a percent of net revenue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bl>
    <w:p>
      <w:pPr>
        <w:spacing w:after="0" w:line="3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$1.8 million increase in customer service and merchant fees for the three months ended June 30, 2024, as compared to the same period in 2023, was primarily due to increased outsourced labor as a result of increased order volume and increased credit card costs driven by a shift in payment mix and increased order volume.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$3.8 million increase in customer service and merchant fees for the six months ended June 30, 2024, as compared to the same period in 2023 was primarily due to increased outsourced labor as a result of increased order volume and increased credit card costs driven by a shift in payment mix and increased order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$82.9 million change in other income (expense), net for the three months ended June 30, 2024 as compared to the same period in 2023, was primarily due to a $72.9 million decrease in loss recognized from our equity method securities and a $10.3 million gain on the sale of intangible assets related to the Wamsutta brand.</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$71.5 million change in other income (expense), net for the six months ended June 30, 2024 as compared to the same period in 2023, was primarily due to a $61.6 million decrease in loss recognized from our equity method securities and a $10.3 million gain on the sale of intangible assets related to the Wamsutta brand.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income tax provision for interim periods is determined using an estimate of our annual effective tax rate adjusted for discrete items, if any, for relevant interim periods. We update our estimate of the annual effective tax rate each quarter and make cumulative adjustments if our estimated annual effective tax rate changes.</w:t>
      </w:r>
    </w:p>
    <w:p>
      <w:pPr>
        <w:spacing w:after="0" w:line="203"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Our quarterly tax provision and our quarterly estimate of our annual effective tax rate are subject to significant variations due to several factors including: variability in predicting our pre-tax and taxable income, the mix of jurisdictions to which those items relate, relative changes in expenses or losses for which tax benefits are limited or not recognized, how we do business, fluctuations in our stock price, economic outlook, political climate, and other conditions such as supply chain challenges, inflation, rising interest rates, and geopolitical events. In addition, changes in laws, regulations, and administrative practices will impact our rate. Our effective tax rate can be volatile based on the amount of pre-tax income. For example, the impact of discrete items on our effective tax rate is greater when pre-tax income is lower.</w:t>
      </w:r>
    </w:p>
    <w:p>
      <w:pPr>
        <w:spacing w:after="0" w:line="21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provision (benefit) for income tax for the three months ended June 30, 2024 and 2023 was $117,000 and $(8.4) million, respectively. The effective tax rate for the three months ended June 30, 2024 and 2023 was (0.3)% and 10.2%, respectively. Our provision (benefit) for income tax for the six months ended June 30, 2024 and 2023 was $446,000 and $(11.3) million, respectively. The effective tax rate for the six months ended June 30, 2024 and 2023 was (0.4)% and 11.8%, respectively. Our tax provision and rate changed during the three and six months ended June 30, 2024 as compared to the same period in 2023, and differs from the statutory federal income tax rate of 21% primarily due to year-to-date losses on our retail operations for which tax benefits are limited.</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quarter we assess on a jurisdictional basis whether it is more likely than not that our deferred tax assets will be realized under ASC Topic</w:t>
      </w:r>
    </w:p>
    <w:p>
      <w:pPr>
        <w:spacing w:after="0" w:line="27" w:lineRule="exact"/>
        <w:rPr>
          <w:sz w:val="20"/>
          <w:szCs w:val="20"/>
          <w:color w:val="auto"/>
        </w:rPr>
      </w:pPr>
    </w:p>
    <w:p>
      <w:pPr>
        <w:ind w:firstLine="8"/>
        <w:spacing w:after="0" w:line="251"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carryback ability, and therefore we must rely on future taxable income, including tax planning strategies and future reversals of taxable temporary differences, to recover our deferred tax assets. We assess available positive and negative evidence to estimate whether we will generate sufficient future taxable income to use our existing deferred tax assets. A significant piece of objective negative evidence evaluated as of June 30, 2024, is the cumulative loss position over a three-year period generated by our U.S. retail operations. On the basis of this evaluation, we maintain a valuation allowance against our deferred tax assets for the U.S. jurisdiction, not supported by reversals of taxable temporary differences. We intend to continue maintaining a valuation allowance on our net U.S. deferred tax assets until there is sufficient evidence to support the reversal of all or some portion of these allowances. The amount of the deferred tax asset considered realizable could be adjusted if objective negative evidence in the form of cumulative losses is no longer present and additional weight is given to subjective evidence such as our projections for growth. We will continue to monitor the need for a valuation allowance against our deferred tax assets on a quarterly basis.</w:t>
      </w:r>
    </w:p>
    <w:p>
      <w:pPr>
        <w:spacing w:after="0" w:line="22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OECD has issued Pillar Two model rules introducing a new global minimum tax of 15% intended to be effective on January 1, 2024. While the U.S. has not yet adopted the Pillar Two rules, various other governments around the world have enacted such legislation. As currently designed, we expect Pillar Two will ultimately apply to us. Considering we do not currently have material operations in jurisdictions with tax rates lower than the Pillar Two minimum, we do not expect these to materially increase our global tax costs based on how we currently do business. There remains uncertainty as to the final Pillar Two model rules and their application. We will continue to monitor U.S. and global legislative action related to Pillar Two for potential impacts.</w:t>
      </w:r>
    </w:p>
    <w:p>
      <w:pPr>
        <w:spacing w:after="0" w:line="21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we repatriate foreign earnings for use in the United States, the distributions are generally exempt from federal and foreign income taxes but may be subject to certain state taxes. As of June 30, 2024, the cumulative amount of foreign earnings considered permanently reinvested upon which taxes have not been provided, and the corresponding unrecognized deferred tax liability, was not material.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and multiple state and foreign jurisdictions. Tax years beginning in 2019 are subject to examination by taxing authorities, although net operating loss and credit carryforwards from all years are subject to examinations and adjustments for at least three years following the year in which the attributes are used.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5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currently on hand and expected cash flows from future operations will be sufficient to continue operations for at least the next twelve months. We continue to monitor, evaluate, and manage our operating plans, forecasts, and liquidity considering the most recent developments driven by macroeconomic conditions, such as supply chain challenges, inflation, rising interest rates, and geopolitical events. We proactively seek opportunities to improve the efficiency of our operations and have in the past and may in the future take steps to realize internal cost savings, including aligning our staffing needs, creating a more variable cost structure to better support our current and expected future levels of operations and process streamlining.</w:t>
      </w:r>
    </w:p>
    <w:p>
      <w:pPr>
        <w:spacing w:after="0" w:line="21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periodically evaluate opportunities to repurchase our equity securities, obtain credit facilities, or issue additional debt or equity securities, which may impact our future operations and liquidity. In addition, we may, from time to time, consider the investment in, or acquisition of, complementary businesses, products, services, or technologies to expand our business, any of which might affect our liquidity requirements or cause us to issue additional debt or equity securities that would be dilutive to shareholders.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sources of liquidity</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and accounts receivable, net. At June 30, 2024, we had $186.2 million of cash and cash equivalents and $18.7 million of accounts receivable, net.</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entered into a Sales Agreement dated June 10, 2024 with JonesTrading, under which we may conduct "at the market" public offerings of our common stock. Under the Sales Agreement, JonesTrading, acting as our sales agent or principal, may offer our common stock in the market on a daily basis or otherwise as we request from time to time. At June 30, 2024, we had $200.0 million available under our "at the market" sales program.</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flow information is as follows (in thousands):</w:t>
      </w:r>
    </w:p>
    <w:p>
      <w:pPr>
        <w:spacing w:after="0" w:line="133"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provided by: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18,772</w:t>
            </w: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(44,435)</w:t>
            </w:r>
          </w:p>
        </w:tc>
      </w:tr>
      <w:tr>
        <w:trPr>
          <w:trHeight w:val="234"/>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Cash received from customers generally corresponds to our net revenues as our customers primarily use credit cards to buy from us, causing our receivables from these sales transactions to settle quickly. We have payment terms with our partners that generally extend beyond the amount of time necessary to collect proceeds from our customers.</w:t>
      </w:r>
    </w:p>
    <w:p>
      <w:pPr>
        <w:spacing w:after="0" w:line="20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$110.5 million of net cash used in operating activities during the six months ended June 30, 2024 was primarily due to loss from operating activities adjusted for non-cash items of $80.8 million and cash used by changes in operating assets and liabilities of $29.7 million.</w:t>
      </w:r>
    </w:p>
    <w:p>
      <w:pPr>
        <w:spacing w:after="0" w:line="18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$18.8 million of net cash provided by operating activities during the six months ended June 30, 2023 was primarily due to income from operating activities adjusted for non-cash items of $17.5 million and cash provided by changes in operating assets and liabilities of $1.3 million.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investing activities resulted in a net cash outflow of $3.3 million, primarily due to $8.0 million of expenditures for property and equipment and $6.2 million for purchases of intangible assets offset by $10.3 million of proceeds received from the sale of intangible assets.</w:t>
      </w:r>
    </w:p>
    <w:p>
      <w:pPr>
        <w:spacing w:after="0" w:line="20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2023, investing activities resulted in a net cash outflow of $44.4 million, primarily due to $22.8 million for purchases of intangible assets, $10.0 million for disbursement of notes receivable and $12.0 million of expenditures for property and equipment.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financing activities resulted in a net cash outflow of $2.6 million, primarily due to $3.3 million for payment of taxes withheld upon vesting of employee stock awards.</w:t>
      </w:r>
    </w:p>
    <w:p>
      <w:pPr>
        <w:spacing w:after="0" w:line="16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2023, financing activities resulted in a net cash outflow of $2.7 million, primarily due to $2.1 million for payment of taxes withheld upon vesting of employee stock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June 30, 2024 and the effect such obligations and commitments are expected to have on our liquidity and cash flow in future periods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80" w:type="dxa"/>
            <w:vAlign w:val="bottom"/>
          </w:tcPr>
          <w:p>
            <w:pPr>
              <w:spacing w:after="0"/>
              <w:rPr>
                <w:sz w:val="17"/>
                <w:szCs w:val="17"/>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80" w:type="dxa"/>
            <w:vAlign w:val="bottom"/>
          </w:tcPr>
          <w:p>
            <w:pPr>
              <w:spacing w:after="0"/>
              <w:rPr>
                <w:sz w:val="17"/>
                <w:szCs w:val="17"/>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243"/>
        </w:trPr>
        <w:tc>
          <w:tcPr>
            <w:tcW w:w="426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8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8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2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Loan agreements (2)</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35,610</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117" w:lineRule="exact"/>
        <w:rPr>
          <w:sz w:val="20"/>
          <w:szCs w:val="20"/>
          <w:color w:val="auto"/>
        </w:rPr>
      </w:pPr>
    </w:p>
    <w:p>
      <w:pPr>
        <w:ind w:left="980" w:right="20" w:hanging="324"/>
        <w:spacing w:after="0" w:line="257" w:lineRule="auto"/>
        <w:tabs>
          <w:tab w:leader="none" w:pos="10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future minimum lease payments under non-cancellable operating leases. For information regarding our operating lease obligations, see Note 9—Leases, in the Notes to Unaudited Consolidated Financial Statements included in Item 1, Part I, Financial Statements (Unaudited) of this Quarterly Report on Form 10-Q.</w:t>
      </w:r>
    </w:p>
    <w:p>
      <w:pPr>
        <w:spacing w:after="0" w:line="1" w:lineRule="exact"/>
        <w:rPr>
          <w:rFonts w:ascii="Times New Roman" w:cs="Times New Roman" w:eastAsia="Times New Roman" w:hAnsi="Times New Roman"/>
          <w:sz w:val="18"/>
          <w:szCs w:val="18"/>
          <w:color w:val="auto"/>
        </w:rPr>
      </w:pPr>
    </w:p>
    <w:p>
      <w:pPr>
        <w:ind w:left="980" w:right="540" w:hanging="324"/>
        <w:spacing w:after="0" w:line="255" w:lineRule="auto"/>
        <w:tabs>
          <w:tab w:leader="none" w:pos="10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future interest and principal payments on the financing agreements with Loan Core Capital Funding Corporation LLC. For information regarding our financing agreements, see Note 8—Borrowings, in the Notes to Unaudited Consolidated Financial Statements included in Item 1, Part I, Financial Statements (Unaudited) of this Quarterly Report on Form 10-Q.</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contingencies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involved in various tax matters, the outcomes of which are uncertain. As of June 30, 2024, accrued tax contingencies were $3.8 million. Changes in federal, foreign, state, and local tax laws may increase our tax contingencies. The timing of the resolution of income tax contingencies is highly uncertain, and the amounts ultimately paid, if any, upon resolution of issues raised by the taxing authorities may differ from the amounts accrued. It is reasonably possible that within the next 12 months we will receive additional assessments by various tax authorities. These assessments may or may not result in changes to our contingencies related to positions on prior years' tax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requires that we make estimates and judgments. We base these on historical experience and on other assumptions that we believe to be reasonable. Except as disclosed in Note 2—Summary of Significant Accounting Policies, in the Notes to Unaudited Consolidated Financial Statements included in Item 1, Part I, Financial Statements (Unaudited) of this Quarterly Report on Form 10-Q, there have been no material changes to our critical accounting policies and estimates as compared to the critical accounting policies and estimates described in Critical Accounting Policies and Estimates, included in Part II, Item 7, Management's Discussion and Analysis of Financial Condition and Results of Operations and in Note 2—Accounting Policies and Supplemental Disclosures, included in Part II, Item 8, Financial Statements and Supplementary Data, of our Annual Report on Form 10-K for the year ended December 31,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a wide variety of laws, rules, mandates, and regulations, some of which apply or may apply to us as a result of our retail business, and others of which apply to us for other reasons, such as our status as a publicly held company or the places in which we sell certain types or amounts of products or services. Our retail business is subject to general business regulations and laws, regulations and laws specifically governing the internet, ecommerce, and other services we offer. Existing and future laws and regulations may result in increasing expense and may impede our growth. Applicable and potentially applicable regulations and laws include regulations and laws regarding taxation, privacy, data protection, pricing, content, copyrights, distribution, mobile communications, electronic device certification, electronic waste, energy consumption, environmental regulation, electronic contracts and other communications, competition, consumer protection, employment, import and export matters, information reporting requirements, access to our services and facilities, the design and operation of websites, health, safety, and sanitation standards, the characteristics and quality of products and services, product labeling and unfair and deceptive trade practices.</w:t>
      </w:r>
    </w:p>
    <w:p>
      <w:pPr>
        <w:spacing w:after="0" w:line="21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efforts to expand our retail business outside of the U.S. expose us to foreign and additional U.S. laws and regulations, including but not limited to, laws and regulations relating to taxation, business licensing or certification requirements, advertising practices, online services, the importation of specified or proscribed items, importation quotas, consumer protection, environmental protection, intellectual property rights, consumer and data protection, privacy, encryption, restrictions on pricing or discounts, and the U.S. Foreign Corrupt Practices Act and other applicable U.S. and foreign laws prohibiting corrupt payments to government officials and other third parties.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market risk from interest rate changes, foreign currency fluctuations, and changes in the market values of our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relating to quantitative and qualitative disclosures about these market risks is set forth below.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56"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The fair value of our cash and cash equivalents (highly liquid instruments with a remaining maturity of 90 days or less at the date of purchase) would not be significantly affected by either an increase or decrease in interest rates due mainly to the short-term nature of these instruments.</w:t>
      </w:r>
    </w:p>
    <w:p>
      <w:pPr>
        <w:spacing w:after="0" w:line="16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Senior Note carries a fixed annual interest rate of 4.242%. As a result, we have no material direct financial statement risk associated with changes in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Most of our sales and operating expenses are denominated in U.S. dollars, and therefore, our net revenue and operating expenses are not currently subject to significant foreign currency risk. As we grow our operations, our exposure to foreign currency risk could become more significant.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Increases in commodity and shipping prices and energy and labor costs have resulted in inflationary pressures across various parts of our business and operations, including our partners and supply chain. We continue to monitor the impact of inflation to minimize its effects on our customers. We work with our partners to limit the amount of cost increases that are passed on through higher pricing. If costs borne by the Company or our partners were to be subject to incremental inflationary pressures, we may not be able to fully offset such higher costs through pricing actions or other cost efficiency measures. Our inability or failure to do so could harm our business, financial condition, and results of operations. While it is difficult to accurately measure the impact of inflation due to the imprecise nature of the estimates required, we believe the effects of inflation, if any, on our historical results of operations and financial condition have been immaterial. We cannot assure you, however, that our results of operations and financial condition will not be materially impacted by inflation in the future.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fair values of our equity and debt securities may be subject to fluctuations due to volatility of the stock market in general, investment-specific circumstances, and changes in general economic conditions. At June 30, 2024, our recorded value in equity securities of private companies was $129.7 million. At June 30, 2024, $32.3 million of our equity securities and $10.7 million of our debt securities are of private companies, recorded at fair value using Level 3 inputs. Our fair value assessment of private companies includes a review of recent operating results and trends, recent sales/acquisitions of the securities, and other publicly available data. Valuations of private companies are inherently more complex due to the lack of readily available market data. As such, we believe that providing a sensitivity analysis is not practicable. These investments valued using Level 3 inputs represent 22.7% of assets measured at fair value. See Note 3—Fair Value Measurement for further information. For our equity interest in Medici Ventures, L.P., we record our proportionate share of the entity's reported net income or loss, which reflects the fair value changes of the underlying investments of the entity and any other income or losses of the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carried out an evaluation of the effectiveness of our disclosure controls and procedures as required by Rule 13a-15(e) and 15d-15(e) of the Securities Exchange Act of 1934, as amended (the "Exchange Act") under the supervision and with the participation of our principal executive officer and principal financial officer, as of the end of the period covered by this report. Based on this evaluation, our principal executive officer and principal financial officer concluded that our disclosure controls and procedures were effective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Disclosure Controls and Procedures</w:t>
      </w:r>
    </w:p>
    <w:p>
      <w:pPr>
        <w:spacing w:after="0" w:line="229" w:lineRule="exact"/>
        <w:rPr>
          <w:sz w:val="20"/>
          <w:szCs w:val="20"/>
          <w:color w:val="auto"/>
        </w:rPr>
      </w:pPr>
    </w:p>
    <w:p>
      <w:pPr>
        <w:jc w:val="both"/>
        <w:ind w:right="60" w:firstLine="648"/>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or become subject to litigation or other legal proceedings concerning consumer protection, employment, privacy, intellectual property, claims under the securities laws, and other commercial matters related to the conduct and operation of our business and the sale of products on our websites. We also prosecute lawsuits to enforce our legal rights. In connection with such litigation or other legal proceedings, we have been in the past and we may be in the future subject to significant damages, associated costs, or equitable remedies relating to the operation of our business.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For additional details, see the information set forth under Item I of Part I, Financial Statements (Unaudited)—Note 10—Commitments and Contingencies, subheading Legal Proceedings and Contingencies, contained in the Notes to Unaudited Consolidated Financial Statements of this Quarterly Report on Form 10-Q, which is incorporated by reference in answer to this Item.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i w:val="1"/>
          <w:iCs w:val="1"/>
          <w:color w:val="auto"/>
        </w:rPr>
        <w:t>Any investment in our securities involves a high degree of risk. Please consider the following risk factors and the risk factors previously disclosed in Part 1, Item 1A, "Risk Factors," of our Annual Report on Form 10-K for the year ended December 31, 2023 carefully. If any one or more of such risks were to occur, it could have a material adverse effect on our business, prospects, financial condition and results of operations, and the market price of our securities could decrease significantly. Statements to the effect that an event could or would harm our business (or have an adverse effect on our business or similar statements) mean that the event could or would have a material adverse effect on our business, prospects, financial condition and results of operations, which in turn could or would have a material adverse effect on the market price of our securities. Many of the risks we face involve more than one type of risk. Consequently, you should carefully read all of the risk factors below, the risk factors described in our Form 10-K for the year ended December 31, 2023, and in any reports we file with the SEC after we file this Form 10-Q, before making any decision to acquire or hold our securities.</w:t>
      </w:r>
    </w:p>
    <w:p>
      <w:pPr>
        <w:spacing w:after="0" w:line="201"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Other than the risk factors set forth below, there are no material changes from the risk factors previously disclosed in Part I, Item 1A, "Risk Factors," of our Annual Report on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the Internet, our infrastructure and transaction-processing systems.</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are completely dependent on our infrastructure and on the availability, reliability and security of the Internet and related systems. Although we have migrated and continue to migrate some of our computer systems and operations to the public cloud, a substantial majority of our computer and communications infrastructure is running in our private cloud on hardware that is located at a single Beyond owned and operated facility which we are currently marketing for sale. Our systems and operations are vulnerable to damage or interruption from fire, flood, power loss, telecommunications failure, terrorist attacks, cyberattacks, acts of war, break-ins, earthquake and similar events. Our back-up facility by itself is not adequate to support fulfillment of sales orders. Our servers and applications are vulnerable to malware, physical or electronic break-ins, internal sabotage, and other disruptions, the occurrence of any of which could lead to interruptions, delays, loss of critical data or the inability to accept and fulfill customer orders. Any internal or critical third-party system interruption that results in the unavailability of our websites or our mobile app or reduced performance of our transaction systems could interrupt or substantially reduce our ability to conduct our business. We have experienced periodic systems interruptions due to server failure, application failure, power failure and intentional cyberattacks in the past, and may experience additional interruptions or failures in the future. Any failure or impairment of our infrastructure or of the availability of the Internet or related systems caused by any source, including the transfer of our hardware to another location or the housing or maintenance of our hardware by a third party if we sell the facility where it is now located, could have a material adverse effect on our financial results, business and prospects. In addition, the occurrence of any event that would adversely affect ecommerce or discourage or prevent consumers from shopping online or via mobile apps could significantly decrease the volume of our sales.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 evolving business model, which increases the complexity of our business.</w:t>
      </w:r>
    </w:p>
    <w:p>
      <w:pPr>
        <w:spacing w:after="0" w:line="25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are modifying and expanding the types of products and services offered for sale on our websites, may further expand offerings in the future, and we do not know whether any of our modifications or expansions will be successful. From time to time, we have also modified aspects of our business model relating to our product mix and the mix of direct versus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partner sourcing of the products offered for sale. Products purchased for direct sale come with additional risks and uncertainties, including costs to maintain inventory, risk of loss from theft or otherwise, and risks associated with the marketing and labeling of products. In addition, we continue to experiment with new technologies to enhance the customer experience and iterate on delivery of new features. The additions and modifications to our business have increased the complexity of our business and impacted, and may in the future materially impact, our management, personnel, operations, systems, technical performance, financial resources, and internal control and reporting functions. Further, our efforts to right-size our cost structure and create a more flexible technology stack may result in the introduction of technologies that are less mature or stable, which could cause problems in our website or back-end logistics systems or compliance efforts. Further, any new business, products or services, technology, or website we launch that is not favorably received by consumers could damage our reputation or our brand. The occurrence of any of the foregoing could have a material adverse effect on our financial results, business, prospects, and the trading prices of our securities.</w:t>
      </w:r>
    </w:p>
    <w:p>
      <w:pPr>
        <w:spacing w:after="0" w:line="21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changing job market, the changes in our leadership team, the change in our compensation approach, the loss of key personnel, the changing job structure, or any inability to attract, retain and engage key personnel could affect our ability to successfully grow our business.</w:t>
      </w:r>
    </w:p>
    <w:p>
      <w:pPr>
        <w:spacing w:after="0" w:line="18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performance is substantially dependent on the continued service and performance of our senior management, our board of directors, and other key personnel. We underwent significant changes to our executive management team and our board of directors in 2023 and 2024, with certain key positions still remaining open. We also underwent changes to our workforce in 2023, when we had a reduction in force, and in 2024, when we had structural changes to the broader organization, including the elimination of the Co-Chief Executive roles and departure of our former Division Chief Executive Officer, Bed Bath &amp; Beyond, the expansion of the Executive Chairman role, and the elimination of the dual Chief Merchant roles. Additionally, in 2023, adjusted our approach to equity compensation provided to our executives from a time-based approach to a performance-based approach. Uncertainties, including any substantial changes in leadership, or any negative impacts associated with performance-based compensation, may cause employees to seek other opportunities or impair our ability to recruit new employees. With more businesses allowing employees to work remotely, we are forced to compete with businesses in other locations and states to attract and retain key employees. Currently, most of our local workforce works a hybrid schedule, where they work onsite three days each week and perform the remaining workdays in that week remotely. We are planning to sell our corporate headquarters, which if completed, could result in more remote work. The changes in leadership, the reduction in force, the structural changes to our organization, the changed approach to performance-based compensation, and the uncertainty of the future job structure could create consequences such as a lack of productivity, a lack of engagement, employee dissatisfaction, and employee fatigue and could result in key employees finding other employers more attractive than working for our Company. The loss of, or the inability to retain or engage the services of key employees for any reason, could harm our business. Our future success depends on our ability to identify, attract, hire, train, engage, retain, and motivate highly-skilled personnel. Our failure to attract, retain, and engage the personnel necessary to successfully operate our business could have a material adverse effect on our financial results, business and prospects.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Purchases of Equity Securities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See Note 12—Stockholders' Equity, in the Notes to Unaudited Consolidated Financial Statements included in Item 1, Part I, Financial Statements (Unaudited) of this Quarterly Report on Form 10-Q for information regarding our authorized share repurchase program. There were no repurchases made during the three months ended June 30, 2024. As of June 30, 2024, the approximate dollar value of shares that may yet be purchased under the stock repurchase program is $69.9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660" w:right="6080" w:hanging="652"/>
        <w:spacing w:after="0" w:line="532" w:lineRule="auto"/>
        <w:tabs>
          <w:tab w:leader="none" w:pos="267"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Disclosure in lieu of reporting on a Current Report on Form 8-K. </w:t>
      </w:r>
      <w:r>
        <w:rPr>
          <w:rFonts w:ascii="Times New Roman" w:cs="Times New Roman" w:eastAsia="Times New Roman" w:hAnsi="Times New Roman"/>
          <w:sz w:val="18"/>
          <w:szCs w:val="18"/>
          <w:color w:val="auto"/>
        </w:rPr>
        <w:t>None.</w:t>
      </w:r>
    </w:p>
    <w:p>
      <w:pPr>
        <w:ind w:left="660" w:right="2620" w:hanging="652"/>
        <w:spacing w:after="0" w:line="532" w:lineRule="auto"/>
        <w:tabs>
          <w:tab w:leader="none" w:pos="267"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Material changes to the procedures by which security holders may recommend nominees to the board of directors </w:t>
      </w:r>
      <w:r>
        <w:rPr>
          <w:rFonts w:ascii="Times New Roman" w:cs="Times New Roman" w:eastAsia="Times New Roman" w:hAnsi="Times New Roman"/>
          <w:sz w:val="18"/>
          <w:szCs w:val="18"/>
          <w:color w:val="auto"/>
        </w:rPr>
        <w:t>None.</w:t>
      </w:r>
    </w:p>
    <w:p>
      <w:pPr>
        <w:ind w:left="260" w:hanging="252"/>
        <w:spacing w:after="0"/>
        <w:tabs>
          <w:tab w:leader="none" w:pos="2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Insider trading arrangements and policies.</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4"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40" w:type="dxa"/>
            <w:vAlign w:val="bottom"/>
            <w:gridSpan w:val="20"/>
          </w:tcPr>
          <w:p>
            <w:pPr>
              <w:ind w:left="6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6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2"/>
        </w:trPr>
        <w:tc>
          <w:tcPr>
            <w:tcW w:w="640" w:type="dxa"/>
            <w:vAlign w:val="bottom"/>
          </w:tcPr>
          <w:p>
            <w:pPr>
              <w:spacing w:after="0"/>
              <w:rPr>
                <w:sz w:val="15"/>
                <w:szCs w:val="15"/>
                <w:color w:val="auto"/>
              </w:rPr>
            </w:pPr>
          </w:p>
        </w:tc>
        <w:tc>
          <w:tcPr>
            <w:tcW w:w="14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60" w:type="dxa"/>
            <w:vAlign w:val="bottom"/>
            <w:gridSpan w:val="24"/>
          </w:tcPr>
          <w:p>
            <w:pPr>
              <w:spacing w:after="0" w:line="18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Asset Purchase Agreement, dated June 12, 2023, by and among Overstock.com, Inc., Bed Bath &amp; Beyond Inc. and</w:t>
              </w:r>
            </w:hyperlink>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certain subsidiaries of Bed Bath &amp; Beyond Inc., incorporated by reference to Exhibit 2.1 to the Company's Current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80" w:type="dxa"/>
            <w:vAlign w:val="bottom"/>
            <w:gridSpan w:val="18"/>
          </w:tcPr>
          <w:p>
            <w:pPr>
              <w:spacing w:after="0" w:line="16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Report on Form 8-K filed on June 13, 2023</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60" w:type="dxa"/>
            <w:vAlign w:val="bottom"/>
            <w:gridSpan w:val="24"/>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Amended and Restated Certificate of Incorporation, incorporated by reference to Exhibit 3.1 to the Company's</w:t>
              </w:r>
            </w:hyperlink>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Quarterly Report on Form 10-Q filed on July 29, 2014</w:t>
              </w:r>
            </w:hyperlink>
          </w:p>
        </w:tc>
        <w:tc>
          <w:tcPr>
            <w:tcW w:w="20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24"/>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Certificate of Amendment to Amended and Restated Certificate of Incorporation, incorporated by reference to Exhibit</w:t>
              </w:r>
            </w:hyperlink>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Current Report on Form 8-K filed on November 6, 2023</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24"/>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Certificate of Amendment to Amended and Restated Certificate of Incorporation, incorporated by reference to Exhibit</w:t>
              </w:r>
            </w:hyperlink>
          </w:p>
        </w:tc>
      </w:tr>
      <w:tr>
        <w:trPr>
          <w:trHeight w:val="155"/>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on May 24, 2024</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24"/>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Fourth Amended and Restated Bylaws, incorporated by reference to Exhibit 3.2 to the Company's Current Report on</w:t>
              </w:r>
            </w:hyperlink>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Form 8-K filed on May 24, 2024</w:t>
              </w:r>
            </w:hyperlink>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24"/>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Form of Indenture, incorporated by reference to Exhibit 4.3 to the Company's Registration Statement on Form S-3ASR</w:t>
              </w:r>
            </w:hyperlink>
          </w:p>
        </w:tc>
      </w:tr>
      <w:tr>
        <w:trPr>
          <w:trHeight w:val="155"/>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filed on June 10, 2024</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24"/>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Amendment to the Beyond, Inc. Amended and Restated 2005 Equity Incentive Plan, incorporated by reference to</w:t>
              </w:r>
            </w:hyperlink>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Exhibit 10.1 to the Company's Current Report on Form 8-K filed on May 24, 2024</w:t>
              </w:r>
            </w:hyperlink>
          </w:p>
        </w:tc>
        <w:tc>
          <w:tcPr>
            <w:tcW w:w="2200" w:type="dxa"/>
            <w:vAlign w:val="bottom"/>
            <w:tcBorders>
              <w:top w:val="single" w:sz="8" w:color="0000FF"/>
            </w:tcBorders>
            <w:gridSpan w:val="3"/>
          </w:tcPr>
          <w:p>
            <w:pPr>
              <w:spacing w:after="0"/>
              <w:rPr>
                <w:sz w:val="13"/>
                <w:szCs w:val="13"/>
                <w:color w:val="auto"/>
              </w:rPr>
            </w:pPr>
          </w:p>
        </w:tc>
        <w:tc>
          <w:tcPr>
            <w:tcW w:w="140" w:type="dxa"/>
            <w:vAlign w:val="bottom"/>
            <w:gridSpan w:val="3"/>
          </w:tcPr>
          <w:p>
            <w:pPr>
              <w:spacing w:after="0"/>
              <w:rPr>
                <w:sz w:val="13"/>
                <w:szCs w:val="13"/>
                <w:color w:val="auto"/>
              </w:rPr>
            </w:pPr>
          </w:p>
        </w:tc>
        <w:tc>
          <w:tcPr>
            <w:tcW w:w="3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24"/>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Executive Chairman Performance Award Grant Notice and Award Agreement, incorporated by reference to Exhibit</w:t>
              </w:r>
            </w:hyperlink>
          </w:p>
        </w:tc>
      </w:tr>
      <w:tr>
        <w:trPr>
          <w:trHeight w:val="156"/>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Company's Current Report on Form 8-K filed on May 24, 2024</w:t>
              </w:r>
            </w:hyperlink>
          </w:p>
        </w:tc>
        <w:tc>
          <w:tcPr>
            <w:tcW w:w="2920" w:type="dxa"/>
            <w:vAlign w:val="bottom"/>
            <w:tcBorders>
              <w:top w:val="single" w:sz="8" w:color="0000FF"/>
            </w:tcBorders>
            <w:gridSpan w:val="8"/>
          </w:tcPr>
          <w:p>
            <w:pPr>
              <w:spacing w:after="0"/>
              <w:rPr>
                <w:sz w:val="13"/>
                <w:szCs w:val="13"/>
                <w:color w:val="auto"/>
              </w:rPr>
            </w:pPr>
          </w:p>
        </w:tc>
        <w:tc>
          <w:tcPr>
            <w:tcW w:w="3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Severance Agreement and Release between Beyond, Inc. and Chandra Holt, effective July 13, 2024</w:t>
            </w:r>
          </w:p>
        </w:tc>
        <w:tc>
          <w:tcPr>
            <w:tcW w:w="1480" w:type="dxa"/>
            <w:vAlign w:val="bottom"/>
            <w:gridSpan w:val="10"/>
          </w:tcPr>
          <w:p>
            <w:pPr>
              <w:spacing w:after="0"/>
              <w:rPr>
                <w:sz w:val="19"/>
                <w:szCs w:val="19"/>
                <w:color w:val="auto"/>
              </w:rPr>
            </w:pPr>
          </w:p>
        </w:tc>
      </w:tr>
      <w:tr>
        <w:trPr>
          <w:trHeight w:val="210"/>
        </w:trPr>
        <w:tc>
          <w:tcPr>
            <w:tcW w:w="6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Form of Restricted Stock Unit Grant Notice and Restricted Stock Unit Agreement under the Beyond, Inc. Amended and</w:t>
            </w:r>
          </w:p>
        </w:tc>
      </w:tr>
      <w:tr>
        <w:trPr>
          <w:trHeight w:val="155"/>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4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Restated 2005 Equity Incentive Plan*</w:t>
            </w:r>
          </w:p>
        </w:tc>
        <w:tc>
          <w:tcPr>
            <w:tcW w:w="2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40" w:type="dxa"/>
            <w:vAlign w:val="bottom"/>
            <w:gridSpan w:val="15"/>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Principal Executive Officer</w:t>
            </w:r>
          </w:p>
        </w:tc>
        <w:tc>
          <w:tcPr>
            <w:tcW w:w="3640" w:type="dxa"/>
            <w:vAlign w:val="bottom"/>
            <w:gridSpan w:val="15"/>
          </w:tcPr>
          <w:p>
            <w:pPr>
              <w:spacing w:after="0"/>
              <w:rPr>
                <w:sz w:val="19"/>
                <w:szCs w:val="19"/>
                <w:color w:val="auto"/>
              </w:rPr>
            </w:pPr>
          </w:p>
        </w:tc>
      </w:tr>
      <w:tr>
        <w:trPr>
          <w:trHeight w:val="210"/>
        </w:trPr>
        <w:tc>
          <w:tcPr>
            <w:tcW w:w="6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r>
      <w:tr>
        <w:trPr>
          <w:trHeight w:val="209"/>
        </w:trPr>
        <w:tc>
          <w:tcPr>
            <w:tcW w:w="6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Principal Executive Officer</w:t>
            </w:r>
          </w:p>
        </w:tc>
        <w:tc>
          <w:tcPr>
            <w:tcW w:w="840" w:type="dxa"/>
            <w:vAlign w:val="bottom"/>
            <w:tcBorders>
              <w:top w:val="single" w:sz="8" w:color="0000FF"/>
            </w:tcBorders>
          </w:tcPr>
          <w:p>
            <w:pPr>
              <w:spacing w:after="0"/>
              <w:rPr>
                <w:sz w:val="18"/>
                <w:szCs w:val="18"/>
                <w:color w:val="auto"/>
              </w:rPr>
            </w:pPr>
          </w:p>
        </w:tc>
        <w:tc>
          <w:tcPr>
            <w:tcW w:w="3700" w:type="dxa"/>
            <w:vAlign w:val="bottom"/>
            <w:gridSpan w:val="16"/>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Section 1350 Certification of Principal Financial Officer</w:t>
            </w: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2560" w:right="200" w:hanging="979"/>
        <w:spacing w:after="0" w:line="261" w:lineRule="auto"/>
        <w:tabs>
          <w:tab w:leader="none" w:pos="2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as Exhibit 101 to this report are the following documents formatted in Inline XBRL (Extensible Business Reporting Language): (i) Consolidated Balance Sheets, (ii) Consolidated Statements of Operations, (iii) Consolidated Statements of Comprehensive Loss, (iv) Consolidated Statements of Cash Flows, (v) Consolidated Statements of Stockholders' Equity, and (vi) Notes to Consolidated Financial Statements.</w:t>
      </w:r>
    </w:p>
    <w:p>
      <w:pPr>
        <w:spacing w:after="0" w:line="18" w:lineRule="exact"/>
        <w:rPr>
          <w:sz w:val="20"/>
          <w:szCs w:val="20"/>
          <w:color w:val="auto"/>
        </w:rPr>
      </w:pPr>
    </w:p>
    <w:p>
      <w:pPr>
        <w:ind w:left="2560" w:right="120" w:hanging="979"/>
        <w:spacing w:after="0" w:line="282" w:lineRule="auto"/>
        <w:tabs>
          <w:tab w:leader="none" w:pos="2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June 30, 2024, formatted in Inline XBRL (included as Exhibit 101).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880" w:hanging="224"/>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right="260" w:firstLine="656"/>
        <w:spacing w:after="0" w:line="260" w:lineRule="auto"/>
        <w:tabs>
          <w:tab w:leader="none" w:pos="9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Reporting Company agrees to furnish supplementally a copy of any omitted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20"/>
        <w:spacing w:after="0"/>
        <w:tabs>
          <w:tab w:leader="none" w:pos="700" w:val="left"/>
          <w:tab w:leader="none" w:pos="5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31, 2024</w:t>
      </w:r>
      <w:r>
        <w:rPr>
          <w:sz w:val="20"/>
          <w:szCs w:val="20"/>
          <w:color w:val="auto"/>
        </w:rPr>
        <w:tab/>
      </w:r>
      <w:r>
        <w:rPr>
          <w:rFonts w:ascii="Times New Roman" w:cs="Times New Roman" w:eastAsia="Times New Roman" w:hAnsi="Times New Roman"/>
          <w:sz w:val="18"/>
          <w:szCs w:val="18"/>
          <w:b w:val="1"/>
          <w:bCs w:val="1"/>
          <w:color w:val="auto"/>
        </w:rPr>
        <w:t>BEYOND, INC.</w:t>
      </w:r>
    </w:p>
    <w:p>
      <w:pPr>
        <w:spacing w:after="0" w:line="25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ADRIANNE B.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750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Adrianne B. Lee</w:t>
      </w:r>
    </w:p>
    <w:p>
      <w:pPr>
        <w:spacing w:after="0" w:line="1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&amp; Administrative Officer</w:t>
      </w:r>
    </w:p>
    <w:p>
      <w:pPr>
        <w:ind w:left="56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320" w:top="364" w:right="6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SEVERANCE AGREEMENT AND RELEASE</w:t>
      </w:r>
    </w:p>
    <w:p>
      <w:pPr>
        <w:spacing w:after="0" w:line="25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THIS SEVERANCE AGREEMENT AND RELEASE (hereinafter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effective as of the Effective Date (as defined below) between Chandra Holt (hereinafter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and Beyond, Inc. (hereinafter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Employee’s employment with the Company terminated effective June 14, 2024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is willing to voluntarily offer Employee the severance benefits provided in this Agreement, subject to the occurrence of the Effective Date.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representations, releases, and obligations contained herein, the sufficiency of which are expressly acknowledged by the Company and by Employee, the Parties hereby agree as follows:</w:t>
      </w:r>
    </w:p>
    <w:p>
      <w:pPr>
        <w:spacing w:after="0" w:line="189" w:lineRule="exact"/>
        <w:rPr>
          <w:sz w:val="20"/>
          <w:szCs w:val="20"/>
          <w:color w:val="auto"/>
        </w:rPr>
      </w:pPr>
    </w:p>
    <w:p>
      <w:pPr>
        <w:jc w:val="both"/>
        <w:ind w:firstLine="656"/>
        <w:spacing w:after="0" w:line="266" w:lineRule="auto"/>
        <w:tabs>
          <w:tab w:leader="none" w:pos="9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and Covenant Not to Sue</w:t>
      </w:r>
      <w:r>
        <w:rPr>
          <w:rFonts w:ascii="Times New Roman" w:cs="Times New Roman" w:eastAsia="Times New Roman" w:hAnsi="Times New Roman"/>
          <w:sz w:val="18"/>
          <w:szCs w:val="18"/>
          <w:color w:val="auto"/>
        </w:rPr>
        <w:t>. Employee agrees, represents, and warrants that the Company is not required by either law, equity, or any verbal or written agreement to offer any severance amount. Employee agrees and recognizes that Employee’s employment relationship with Company, its subsidiaries, affiliates, and successors permanently and irrevocably ceased as of the Separation Date.</w:t>
      </w:r>
    </w:p>
    <w:p>
      <w:pPr>
        <w:spacing w:after="0" w:line="202" w:lineRule="exact"/>
        <w:rPr>
          <w:rFonts w:ascii="Times New Roman" w:cs="Times New Roman" w:eastAsia="Times New Roman" w:hAnsi="Times New Roman"/>
          <w:sz w:val="18"/>
          <w:szCs w:val="18"/>
          <w:color w:val="auto"/>
        </w:rPr>
      </w:pPr>
    </w:p>
    <w:p>
      <w:pPr>
        <w:jc w:val="both"/>
        <w:ind w:firstLine="656"/>
        <w:spacing w:after="0" w:line="254" w:lineRule="auto"/>
        <w:tabs>
          <w:tab w:leader="none" w:pos="10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Unconditional Obligations</w:t>
      </w:r>
      <w:r>
        <w:rPr>
          <w:rFonts w:ascii="Times New Roman" w:cs="Times New Roman" w:eastAsia="Times New Roman" w:hAnsi="Times New Roman"/>
          <w:sz w:val="18"/>
          <w:szCs w:val="18"/>
          <w:color w:val="auto"/>
        </w:rPr>
        <w:t>. The Company and Employee acknowledge that Employee was paid her salary through the Separation Date. Regardless of whether she signs this Agreement, she shall be entitled to (a) reimbursement of business expenses through the Separation Date, if any, that shall be submitted and paid in accordance with Company business expense reimbursement policies and (b) to the extent not previously paid to Employee, the reimbursement of Employee’s reasonable attorneys’ fees actually incurred by Employee in the negotiation of her Offer Letter (as defined below) and evidenced by supporting documentation in an aggregate amount not to exceed $10,000 (the “</w:t>
      </w:r>
      <w:r>
        <w:rPr>
          <w:rFonts w:ascii="Times New Roman" w:cs="Times New Roman" w:eastAsia="Times New Roman" w:hAnsi="Times New Roman"/>
          <w:sz w:val="18"/>
          <w:szCs w:val="18"/>
          <w:b w:val="1"/>
          <w:bCs w:val="1"/>
          <w:color w:val="auto"/>
        </w:rPr>
        <w:t>Accrued Obligations</w:t>
      </w:r>
      <w:r>
        <w:rPr>
          <w:rFonts w:ascii="Times New Roman" w:cs="Times New Roman" w:eastAsia="Times New Roman" w:hAnsi="Times New Roman"/>
          <w:sz w:val="18"/>
          <w:szCs w:val="18"/>
          <w:color w:val="auto"/>
        </w:rPr>
        <w:t>”). Employee further acknowledges that she shall receive notice under separate cover concerning her right to continue her insurance coverage pursuant to the Consolidated Omnibus Budget Reconciliation Act of 1985, as amended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and that she is solely responsible for electing or declining such coverage and paying the applicable premiums to secure such coverage, except as set forth in paragraph 3(b). On the Separation Date, all of Employee’s outstanding equity awards granted by the Company terminated in accordance with their terms.</w:t>
      </w:r>
    </w:p>
    <w:p>
      <w:pPr>
        <w:spacing w:after="0" w:line="215" w:lineRule="exact"/>
        <w:rPr>
          <w:rFonts w:ascii="Times New Roman" w:cs="Times New Roman" w:eastAsia="Times New Roman" w:hAnsi="Times New Roman"/>
          <w:sz w:val="18"/>
          <w:szCs w:val="18"/>
          <w:color w:val="auto"/>
        </w:rPr>
      </w:pPr>
    </w:p>
    <w:p>
      <w:pPr>
        <w:jc w:val="both"/>
        <w:ind w:firstLine="656"/>
        <w:spacing w:after="0" w:line="266" w:lineRule="auto"/>
        <w:tabs>
          <w:tab w:leader="none" w:pos="9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Subject to the occurrence of the Effective Date within the time period set forth in Section 4 and Employee’s continued compliance with the terms of this Agreement and the Confidentiality Agreements (as defined below), the Company will provide Employee with the following payments and benefits:</w:t>
      </w:r>
    </w:p>
    <w:p>
      <w:pPr>
        <w:spacing w:after="0" w:line="202"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in the total gross amount of $300,000 on the first regularly scheduled payroll date following the Effective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33"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76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Employee timely and properly elects continuation coverage under the Company’s group health plan(s) pursuant to COBRA, the Company will pay on Employee’s behalf the full amount of premiums for COBRA continuation coverage under the Company’s health insurance plan, including coverage for the Employee’s eligible dependents, until the earliest of (i) four (4) months following the Separation Date; (ii) the expiration of Employee’s eligibility for continuation coverage under COBRA, or (iii) the date when the Employee becomes eligible for substantially equivalent health insurance coverage in connection with new employment or self-employment (such period from the Separation Date through the earliest of (i) through (iii), the “</w:t>
      </w:r>
      <w:r>
        <w:rPr>
          <w:rFonts w:ascii="Times New Roman" w:cs="Times New Roman" w:eastAsia="Times New Roman" w:hAnsi="Times New Roman"/>
          <w:sz w:val="18"/>
          <w:szCs w:val="18"/>
          <w:b w:val="1"/>
          <w:bCs w:val="1"/>
          <w:color w:val="auto"/>
        </w:rPr>
        <w:t>COBRA Payment Period</w:t>
      </w:r>
      <w:r>
        <w:rPr>
          <w:rFonts w:ascii="Times New Roman" w:cs="Times New Roman" w:eastAsia="Times New Roman" w:hAnsi="Times New Roman"/>
          <w:sz w:val="18"/>
          <w:szCs w:val="18"/>
          <w:color w:val="auto"/>
        </w:rPr>
        <w:t>”); provided, however, that Employee acknowledges and agrees that the election of COBRA continuation coverage shall remain Employee’s sole responsibility; and</w:t>
      </w:r>
    </w:p>
    <w:p>
      <w:pPr>
        <w:spacing w:after="0" w:line="21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4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of Employee’s reasonable attorneys’ fees actually incurred by Employee in the negotiation of this Agreement and evidenced by supporting documentation in an aggregate amount not to exceed $10,000, which shall be paid within thirty (30) days following the Effective Date.</w:t>
      </w:r>
    </w:p>
    <w:p>
      <w:pPr>
        <w:sectPr>
          <w:pgSz w:w="11900" w:h="16838" w:orient="portrait"/>
          <w:cols w:equalWidth="0" w:num="1">
            <w:col w:w="11240"/>
          </w:cols>
          <w:pgMar w:left="320" w:top="887" w:right="339" w:bottom="1440" w:gutter="0" w:footer="0" w:header="0"/>
        </w:sectPr>
      </w:pPr>
    </w:p>
    <w:bookmarkStart w:id="40" w:name="page41"/>
    <w:bookmarkEnd w:id="40"/>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in this Section 3, Employee is not owed wages, commissions, bonuses or other compensation, other than the Accrued Obligations. Employee specifically acknowledges that she is not eligible for severance benefits under the Company’s Key Employee Severance Plan as a result of the occurrence of the Separation Date.</w:t>
      </w:r>
    </w:p>
    <w:p>
      <w:pPr>
        <w:spacing w:after="0" w:line="203" w:lineRule="exact"/>
        <w:rPr>
          <w:sz w:val="20"/>
          <w:szCs w:val="20"/>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and Discharge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12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good and valuable consideration set forth herein, the receipt and sufficiency of which is hereby acknowledged, and in consideration of the foregoing recitals and provisions above, which by this reference are incorporated herein, Employee hereby fully and forever releases and discharges the Company, its subsidiaries and affiliates (together, the “</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and its and their members, shareholders, officers, directors, agents, employees, assigns, managers, partners, and board members (collectively, the “</w:t>
      </w:r>
      <w:r>
        <w:rPr>
          <w:rFonts w:ascii="Times New Roman" w:cs="Times New Roman" w:eastAsia="Times New Roman" w:hAnsi="Times New Roman"/>
          <w:sz w:val="18"/>
          <w:szCs w:val="18"/>
          <w:b w:val="1"/>
          <w:bCs w:val="1"/>
          <w:color w:val="auto"/>
        </w:rPr>
        <w:t>Releasees</w:t>
      </w:r>
      <w:r>
        <w:rPr>
          <w:rFonts w:ascii="Times New Roman" w:cs="Times New Roman" w:eastAsia="Times New Roman" w:hAnsi="Times New Roman"/>
          <w:sz w:val="18"/>
          <w:szCs w:val="18"/>
          <w:color w:val="auto"/>
        </w:rPr>
        <w:t>”) from any and all claims, demands, actions, causes of action, judgments and liabilities of any kind or nature whatsoever in law, equity or otherwise, whether known or unknown, suspected or unsuspected, that Employee may possess against any of the Releasees arising from any omissions, acts, facts, or damages that have occurred up until and including the date Employee signs this Agreement relating to Employee’s employment or service with the Company Group or termination from any position, including but not limited to the following:</w:t>
      </w:r>
    </w:p>
    <w:p>
      <w:pPr>
        <w:spacing w:after="0" w:line="218"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445"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by Employee that the Company Group discriminated against Employee on the basis of race, sex, religion, age, national origin or handicap in violation of any state or federal law, including Title VII of the Civil Rights Act of 1964, as amended, the Family Medical Leave Act, the Americans with Disabilities Act, as amended, the Age Discrimination in Employment Act (as amended by the Older Workers Benefit Protection Act) (the “</w:t>
      </w:r>
      <w:r>
        <w:rPr>
          <w:rFonts w:ascii="Times New Roman" w:cs="Times New Roman" w:eastAsia="Times New Roman" w:hAnsi="Times New Roman"/>
          <w:sz w:val="18"/>
          <w:szCs w:val="18"/>
          <w:b w:val="1"/>
          <w:bCs w:val="1"/>
          <w:color w:val="auto"/>
        </w:rPr>
        <w:t>ADEA</w:t>
      </w:r>
      <w:r>
        <w:rPr>
          <w:rFonts w:ascii="Times New Roman" w:cs="Times New Roman" w:eastAsia="Times New Roman" w:hAnsi="Times New Roman"/>
          <w:sz w:val="18"/>
          <w:szCs w:val="18"/>
          <w:color w:val="auto"/>
        </w:rPr>
        <w:t>”), or similar state or local laws.</w:t>
      </w:r>
    </w:p>
    <w:p>
      <w:pPr>
        <w:spacing w:after="0" w:line="206" w:lineRule="exact"/>
        <w:rPr>
          <w:rFonts w:ascii="Times New Roman" w:cs="Times New Roman" w:eastAsia="Times New Roman" w:hAnsi="Times New Roman"/>
          <w:sz w:val="18"/>
          <w:szCs w:val="18"/>
          <w:color w:val="auto"/>
        </w:rPr>
      </w:pPr>
    </w:p>
    <w:p>
      <w:pPr>
        <w:ind w:left="1484" w:hanging="188"/>
        <w:spacing w:after="0"/>
        <w:tabs>
          <w:tab w:leader="none" w:pos="148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under federal, state, or local law regarding health benefits, retirement benefits or life insurance benefits.</w:t>
      </w:r>
    </w:p>
    <w:p>
      <w:pPr>
        <w:spacing w:after="0" w:line="252"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in tort that the Company Group negligently, intentionally, maliciously, or wantonly caused damage to Employee.</w:t>
      </w:r>
    </w:p>
    <w:p>
      <w:pPr>
        <w:spacing w:after="0" w:line="252" w:lineRule="exact"/>
        <w:rPr>
          <w:rFonts w:ascii="Times New Roman" w:cs="Times New Roman" w:eastAsia="Times New Roman" w:hAnsi="Times New Roman"/>
          <w:sz w:val="18"/>
          <w:szCs w:val="18"/>
          <w:color w:val="auto"/>
        </w:rPr>
      </w:pPr>
    </w:p>
    <w:p>
      <w:pPr>
        <w:ind w:left="644" w:firstLine="652"/>
        <w:spacing w:after="0" w:line="282" w:lineRule="auto"/>
        <w:tabs>
          <w:tab w:leader="none" w:pos="1551"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under federal, state, or local law the Company Group inflicted emotional distress either intentionally or negligently on Employee.</w:t>
      </w:r>
    </w:p>
    <w:p>
      <w:pPr>
        <w:spacing w:after="0" w:line="188" w:lineRule="exact"/>
        <w:rPr>
          <w:rFonts w:ascii="Times New Roman" w:cs="Times New Roman" w:eastAsia="Times New Roman" w:hAnsi="Times New Roman"/>
          <w:sz w:val="18"/>
          <w:szCs w:val="18"/>
          <w:color w:val="auto"/>
        </w:rPr>
      </w:pPr>
    </w:p>
    <w:p>
      <w:pPr>
        <w:ind w:left="644" w:firstLine="652"/>
        <w:spacing w:after="0" w:line="282" w:lineRule="auto"/>
        <w:tabs>
          <w:tab w:leader="none" w:pos="147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under federal, state, or local law against the Company Group sounding in contract, oral or written, express or implied, or any other agreement or promise.</w:t>
      </w:r>
    </w:p>
    <w:p>
      <w:pPr>
        <w:spacing w:after="0" w:line="188" w:lineRule="exact"/>
        <w:rPr>
          <w:rFonts w:ascii="Times New Roman" w:cs="Times New Roman" w:eastAsia="Times New Roman" w:hAnsi="Times New Roman"/>
          <w:sz w:val="18"/>
          <w:szCs w:val="18"/>
          <w:color w:val="auto"/>
        </w:rPr>
      </w:pPr>
    </w:p>
    <w:p>
      <w:pPr>
        <w:ind w:left="1524" w:hanging="228"/>
        <w:spacing w:after="0"/>
        <w:tabs>
          <w:tab w:leader="none" w:pos="152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that the Company Group owes any sort of compensation, bonus, or money to Employee.</w:t>
      </w:r>
    </w:p>
    <w:p>
      <w:pPr>
        <w:spacing w:after="0" w:line="252"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10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Employee does not waive any rights Employee may have (i) under COBRA; (ii) to the Accrued Obligations and Employee’s vested accrued employee benefits under the Company’s health, welfare, or retirement benefit plans as of the Separation Date; (iii) to benefits and/or the right to seek benefits under applicable workers’ compensation and/or unemployment compensation statutes; (iv) to pursue claims which by law cannot be waived and/or which may arise after the execution of this Agreement; (v) to her rights, if any, to indemnification or advancement from the Company as an officer, whether pursuant to any agreement or by operation of law; and/or (vi) to enforce this Agreement. Employee expressly consents that this Agreement shall be given full force and effect according to each and all of its express terms and provisions, including those relating to unknown and unsuspected claims (notwithstanding any state or local statute that expressly limits the effectiveness of a release of unknown, unsuspected and unanticipated claims), if any, as well as those relating to any other claims hereinabove mentioned or implied. Employee acknowledges that she may hereafter discover claims or facts in addition to or different than those which she now knows or believes to exist with respect to the subject matter of the release set forth above and which, if known or suspected at the time of entering into this Agreement, may have materially affected this Agreement and her decision to enter into it. Employee acknowledges and agrees that this waiver is an essential and material term of this Agreement and that without such waiver the Company would not have agreed to the terms of this Agreement.</w:t>
      </w:r>
    </w:p>
    <w:p>
      <w:pPr>
        <w:spacing w:after="0" w:line="214"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0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this Agreement was presented to her on June 14, 2024, and that Employee was provided twenty-one (21) days’ time following such date in which to consider it (the “</w:t>
      </w: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and that the Review Period shall expire at 5:00 p.m. Mountain Time on July 5, 2024. Employee further</w:t>
      </w:r>
    </w:p>
    <w:p>
      <w:pPr>
        <w:sectPr>
          <w:pgSz w:w="11900" w:h="16838" w:orient="portrait"/>
          <w:cols w:equalWidth="0" w:num="1">
            <w:col w:w="10584"/>
          </w:cols>
          <w:pgMar w:left="976" w:top="891" w:right="339" w:bottom="1440" w:gutter="0" w:footer="0" w:header="0"/>
        </w:sectPr>
      </w:pPr>
    </w:p>
    <w:bookmarkStart w:id="41" w:name="page42"/>
    <w:bookmarkEnd w:id="41"/>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acknowledges that the Company has advised her that she is waiving her rights under the ADEA, and that Employee has the right to and should consult with an attorney of her choice before signing this Agreement, and Employee has had sufficient time to consider the terms of this Agreement. Employee represents and acknowledges that if Employee executes this Agreement before the Review Period has elapsed, Employee does so knowingly, voluntarily, and upon the advice and with the approval of Employee’s legal counsel (if any), and that Employee voluntarily waives any remaining consideration period.</w:t>
      </w:r>
    </w:p>
    <w:p>
      <w:pPr>
        <w:spacing w:after="0" w:line="210" w:lineRule="exact"/>
        <w:rPr>
          <w:sz w:val="20"/>
          <w:szCs w:val="20"/>
          <w:color w:val="auto"/>
        </w:rPr>
      </w:pPr>
    </w:p>
    <w:p>
      <w:pPr>
        <w:jc w:val="both"/>
        <w:ind w:left="4" w:firstLine="644"/>
        <w:spacing w:after="0" w:line="256" w:lineRule="auto"/>
        <w:tabs>
          <w:tab w:leader="none" w:pos="11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that after executing this Agreement, Employee shall have a period of seven (7) days from the date immediately following the date of her execution of it in which Employee may revoke this Agreement at Employee’s sole election by notifying the Company in writing (the “</w:t>
      </w:r>
      <w:r>
        <w:rPr>
          <w:rFonts w:ascii="Times New Roman" w:cs="Times New Roman" w:eastAsia="Times New Roman" w:hAnsi="Times New Roman"/>
          <w:sz w:val="18"/>
          <w:szCs w:val="18"/>
          <w:b w:val="1"/>
          <w:bCs w:val="1"/>
          <w:color w:val="auto"/>
        </w:rPr>
        <w:t>Revocation Period</w:t>
      </w:r>
      <w:r>
        <w:rPr>
          <w:rFonts w:ascii="Times New Roman" w:cs="Times New Roman" w:eastAsia="Times New Roman" w:hAnsi="Times New Roman"/>
          <w:sz w:val="18"/>
          <w:szCs w:val="18"/>
          <w:color w:val="auto"/>
        </w:rPr>
        <w:t xml:space="preserve">”). Employee also understands that any revocation of this Agreement must be made in writing and delivered to the Chief People Officer of the Company via email to </w:t>
      </w:r>
      <w:r>
        <w:rPr>
          <w:rFonts w:ascii="Times New Roman" w:cs="Times New Roman" w:eastAsia="Times New Roman" w:hAnsi="Times New Roman"/>
          <w:sz w:val="18"/>
          <w:szCs w:val="18"/>
          <w:u w:val="single" w:color="auto"/>
          <w:color w:val="3051F2"/>
        </w:rPr>
        <w:t>rcarpenter@beyond.com</w:t>
      </w:r>
      <w:r>
        <w:rPr>
          <w:rFonts w:ascii="Times New Roman" w:cs="Times New Roman" w:eastAsia="Times New Roman" w:hAnsi="Times New Roman"/>
          <w:sz w:val="18"/>
          <w:szCs w:val="18"/>
          <w:color w:val="auto"/>
        </w:rPr>
        <w:t xml:space="preserve"> within the seven (7) day Revocation Period. In the event Employee does not exercise her right to revoke this Agreement, this Agreement shall become effective on the date immediately following the Revocation Period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214"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0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further understands that Employee will not be given any severance benefits unless she executes this Agreement on or before the expiration of the Review Period at 5:00 p.m. Mountain Time on July 5, 2024, and allows the Revocation Period to lapse without exercising her right of revocation. The Parties agree that any material or immaterial changes to this Agreement shall not extend the deadline for the occurrence of the Effective Date.</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04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further represents, and warrants that Employee has not filed any suit, claims, or charges with any court or governmental agency, and agrees, represents, and warrants that Employee will not file any suit, claims or charges with any court or governmental agency, in any jurisdiction, relating to or arising out of Employee’s employment with the Company. Employee represents that the Employee has no lawsuits, claims, or actions pending in the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 Employee confirms that the Employee has no knowledge of any wrongdoing involving improper or false claims against any governmental agency, or any other wrongdoing that involves Employee or any other present or former Company employees, including violations of the applicable laws.</w:t>
      </w:r>
    </w:p>
    <w:p>
      <w:pPr>
        <w:spacing w:after="0" w:line="218"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3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Release</w:t>
      </w:r>
      <w:r>
        <w:rPr>
          <w:rFonts w:ascii="Times New Roman" w:cs="Times New Roman" w:eastAsia="Times New Roman" w:hAnsi="Times New Roman"/>
          <w:sz w:val="18"/>
          <w:szCs w:val="18"/>
          <w:color w:val="auto"/>
        </w:rPr>
        <w:t>. Subject to the occurrence of the Effective Date, the Company, on behalf of itself and its subsidiaries, successors in interest and assigns, hereby releases and forever discharges Employee and her heirs, executors, administrators, successors in interest, and assigns, both individually and collectively, from any and all claims, demands, actions, causes of action, judgments and liabilities of any kind or nature whatsoever in law, equity or otherwise, whether known or unknown, suspected or unsuspected, which the Company may possess against Employee arising from any omissions, acts, facts, or damages that have occurred up until and including the date the Company’s authorized representative executes this Agreement relating to Employee’s employment with the Company; provided, however, that the Company does not waive any claims the Company may have related to (a) the Company’s right to enforce Employee’s obligations under this Agreement, the Confidentiality Agreements (as defined below) or the other agreements referenced herein, (b) any claims arising out of, based upon, or relating to Employee’s breach of fiduciary duty to the Company, willful misconduct or illegal conduct, or (c) claims that cannot be released as a matter of law.</w:t>
      </w:r>
    </w:p>
    <w:p>
      <w:pPr>
        <w:spacing w:after="0" w:line="21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 of Proprietary and Confidential Information; Restrictive Covenants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13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hereby acknowledges that during the course of employment, Employee was privy to confidential and/or proprietary scientific, technical, and/or business information (hereinafter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Subject to the exceptions set forth in paragraph 5(g), Employee agrees to protect, and not to use or disclose and not to destroy or delete, and immediately return any and all Confidential Information of the Company that is now in the possession, custody, or control of Employee, including any and all documents that exist in electronic form on Employee’s personal computer, as well as any other information stored by any means, including documents stored in any email account maintained or used by Employee or through any other means of physical, magnetic, electronic, virtual, or cloud storage. This information includes, but is not limited to any information disclosed to Employee by the Company either directly or indirectly, in writing, orally, or by inspection of tangible objects, including, without limitation, documents, processes, products, prototypes, plans, product plans, research, specifications, software, computer programs, or other copyrightable work, source code, trade secrets, business plans, customer, or client data, customer or client lists, customer or client names, lists of referral sources, price lists, pricing structures, business lists, business data, business techniques, business models, marketing techniques, marketing</w:t>
      </w:r>
    </w:p>
    <w:p>
      <w:pPr>
        <w:sectPr>
          <w:pgSz w:w="11900" w:h="16838" w:orient="portrait"/>
          <w:cols w:equalWidth="0" w:num="1">
            <w:col w:w="10584"/>
          </w:cols>
          <w:pgMar w:left="976" w:top="891"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strategies, marketing plans or concepts, market information, financial data or analyses, financial forecasts or projections, financial formulas, budgets, third party or other contracts, contract amounts, salaries or wages, compensation and fringe benefit programs or packages, severance packages or agreements, internal, external, and/or personnel policies and procedures, company manuals or employee handbooks, training materials or procedures, bulletins, memos, and other materials and information relating to company operations, or any information or material that is designated as “confidential,” “proprietary,” or some similar designation (collectively “</w:t>
      </w:r>
      <w:r>
        <w:rPr>
          <w:rFonts w:ascii="Times New Roman" w:cs="Times New Roman" w:eastAsia="Times New Roman" w:hAnsi="Times New Roman"/>
          <w:sz w:val="18"/>
          <w:szCs w:val="18"/>
          <w:b w:val="1"/>
          <w:bCs w:val="1"/>
          <w:color w:val="auto"/>
        </w:rPr>
        <w:t>Proprietary Information</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firstLine="644"/>
        <w:spacing w:after="0" w:line="256" w:lineRule="auto"/>
        <w:tabs>
          <w:tab w:leader="none" w:pos="10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reaffirms her obligations under that certain Employee Confidentiality, Non-Competition and Non-Solicitation Agreement dated February 19, 2024, and that certain Employment, Confidential Information and Invention Assignment, and Arbitration Agreement dated February 19, 2024 (together, the “</w:t>
      </w:r>
      <w:r>
        <w:rPr>
          <w:rFonts w:ascii="Times New Roman" w:cs="Times New Roman" w:eastAsia="Times New Roman" w:hAnsi="Times New Roman"/>
          <w:sz w:val="18"/>
          <w:szCs w:val="18"/>
          <w:b w:val="1"/>
          <w:bCs w:val="1"/>
          <w:color w:val="auto"/>
        </w:rPr>
        <w:t>Confidentiality Agreements</w:t>
      </w:r>
      <w:r>
        <w:rPr>
          <w:rFonts w:ascii="Times New Roman" w:cs="Times New Roman" w:eastAsia="Times New Roman" w:hAnsi="Times New Roman"/>
          <w:sz w:val="18"/>
          <w:szCs w:val="18"/>
          <w:color w:val="auto"/>
        </w:rPr>
        <w:t>”), including her obligations of confidentiality, assignment of intellectual property, non-competition and non-solicitation within the foregoing, represents and warrants that she has not breached the same, and understands that such obligations continue after termination of employment and execution of this Agreement. The company agrees to modify its standard Non-Competition and Non-Solicitation Agreement to a 4-month period starting the effective date of this severance agreement.</w:t>
      </w:r>
    </w:p>
    <w:p>
      <w:pPr>
        <w:spacing w:after="0" w:line="214" w:lineRule="exact"/>
        <w:rPr>
          <w:rFonts w:ascii="Times New Roman" w:cs="Times New Roman" w:eastAsia="Times New Roman" w:hAnsi="Times New Roman"/>
          <w:sz w:val="18"/>
          <w:szCs w:val="18"/>
          <w:color w:val="auto"/>
        </w:rPr>
      </w:pPr>
    </w:p>
    <w:p>
      <w:pPr>
        <w:jc w:val="both"/>
        <w:ind w:firstLine="644"/>
        <w:spacing w:after="0" w:line="266" w:lineRule="auto"/>
        <w:tabs>
          <w:tab w:leader="none" w:pos="11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warrants that Employee has returned all property of the Company. Employee also acknowledges and agrees that Employee is obligated to return any and all of the Company’s proprietary materials. This includes keys, computers, phones, files, and any other tangible items belonging to the Company.</w:t>
      </w:r>
    </w:p>
    <w:p>
      <w:pPr>
        <w:spacing w:after="0" w:line="202" w:lineRule="exact"/>
        <w:rPr>
          <w:rFonts w:ascii="Times New Roman" w:cs="Times New Roman" w:eastAsia="Times New Roman" w:hAnsi="Times New Roman"/>
          <w:sz w:val="18"/>
          <w:szCs w:val="18"/>
          <w:color w:val="auto"/>
        </w:rPr>
      </w:pPr>
    </w:p>
    <w:p>
      <w:pPr>
        <w:jc w:val="both"/>
        <w:ind w:right="20" w:firstLine="644"/>
        <w:spacing w:after="0" w:line="266" w:lineRule="auto"/>
        <w:tabs>
          <w:tab w:leader="none" w:pos="11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make herself reasonably available to, and to reasonably cooperate with the Company in, any internal investigation or administrative, regulatory, or judicial inquiry, investigation, proceeding or arbitration solely relating to matters Employee was involved in due to her employment with the Company.</w:t>
      </w:r>
    </w:p>
    <w:p>
      <w:pPr>
        <w:spacing w:after="0" w:line="202" w:lineRule="exact"/>
        <w:rPr>
          <w:rFonts w:ascii="Times New Roman" w:cs="Times New Roman" w:eastAsia="Times New Roman" w:hAnsi="Times New Roman"/>
          <w:sz w:val="18"/>
          <w:szCs w:val="18"/>
          <w:color w:val="auto"/>
        </w:rPr>
      </w:pPr>
    </w:p>
    <w:p>
      <w:pPr>
        <w:jc w:val="both"/>
        <w:ind w:firstLine="644"/>
        <w:spacing w:after="0" w:line="254" w:lineRule="auto"/>
        <w:tabs>
          <w:tab w:leader="none" w:pos="113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Employee will not publicly or privately disparage the Company or the Company’s reputation, products, processes, partners, executives or directors, and agrees not to contact current employees, independent contractors, vendors, brokers, distributors or any other business partners or associates of the Company and speak ill of the Company or the Company’s products, processes, partners, or executives, or to take any action that might damage relationships between the Company and the Company’s current employees, independent contractors, vendors, brokers, distributors or any other business partners or associates of the Company. The Company agrees that it will instruct its current executive officers and members of its board of directors not to publicly or privately disparage Employee or Employee’s reputation. Notwithstanding the foregoing, nothing herein shall restrict Employee or the Company’s executive officers and members of the board of directors from making truthful statements which by law cannot be subject to a nondisparagement covenant.</w:t>
      </w:r>
    </w:p>
    <w:p>
      <w:pPr>
        <w:spacing w:after="0" w:line="218" w:lineRule="exact"/>
        <w:rPr>
          <w:rFonts w:ascii="Times New Roman" w:cs="Times New Roman" w:eastAsia="Times New Roman" w:hAnsi="Times New Roman"/>
          <w:sz w:val="18"/>
          <w:szCs w:val="18"/>
          <w:color w:val="auto"/>
        </w:rPr>
      </w:pPr>
    </w:p>
    <w:p>
      <w:pPr>
        <w:ind w:firstLine="644"/>
        <w:spacing w:after="0" w:line="282" w:lineRule="auto"/>
        <w:tabs>
          <w:tab w:leader="none" w:pos="10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also agrees that if there is any substantiated evidence of violation of this paragraph 5, Employee will forfeit the entire severance amount and be subject to pay restitution of any amount already disbursed to Employee.</w:t>
      </w:r>
    </w:p>
    <w:p>
      <w:pPr>
        <w:spacing w:after="0" w:line="188" w:lineRule="exact"/>
        <w:rPr>
          <w:rFonts w:ascii="Times New Roman" w:cs="Times New Roman" w:eastAsia="Times New Roman" w:hAnsi="Times New Roman"/>
          <w:sz w:val="18"/>
          <w:szCs w:val="18"/>
          <w:color w:val="auto"/>
        </w:rPr>
      </w:pPr>
    </w:p>
    <w:p>
      <w:pPr>
        <w:jc w:val="both"/>
        <w:ind w:firstLine="644"/>
        <w:spacing w:after="0" w:line="252" w:lineRule="auto"/>
        <w:tabs>
          <w:tab w:leader="none" w:pos="10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agrees that nothing in this Agreement or in any agreement between her and the Company prohibits or limits her (or her attorney) from (x) initiating communications directly with, responding to any inquiry from, volunteering information to, or providing testimony before the Securities and Exchange Commission, the Department of Justice, the U.S. Commodity Futures Trading Commission, the U.S. Equal Employment Opportunity Commission, or the U.S. National Labor Relations Board, any regulatory or self-regulatory organization, or any other governmental, law enforcement, or regulatory authority, regarding this Agreement and its underlying facts and circumstances, or any reporting of, investigation into, or proceeding regarding suspected violations of law, (y) exercising any rights Employee may have under Section 7 of the U.S. National Labor Relations Act, such as the right to engage in concerted activity, including collective action or discussion concerning wages or working conditions, or (z) discussing or disclosing information about unlawful acts in the workplace, such as harassment or discrimination based on a protected characteristic or any other conduct that Employee has reason to believe is unlawful and that she is not required to advise or seek permission from the Company before engaging in any such activity. Employee further acknowledges that, in connection with any such activity, she must inform such authority of the confidential nature of any confidential information that she provides, and that she is not permitted to disclose any information that is protected by the attorney-client privilege or any other privilege belonging to the Company, as the Company does not waive and intends to preserve such privileges. Employee is hereby notified that, pursuant to federal law (the Defend Trade Secrets Act), an individual, shall not be held criminally or civilly liable under any federal or state trade secret law for the disclosure of a trade secret that is (i) made in confidence to a federal, state, or local government official, either directly or indirectly, or to an attorney solely for the purpose of reporting or</w:t>
      </w:r>
    </w:p>
    <w:p>
      <w:pPr>
        <w:sectPr>
          <w:pgSz w:w="11900" w:h="16838" w:orient="portrait"/>
          <w:cols w:equalWidth="0" w:num="1">
            <w:col w:w="10580"/>
          </w:cols>
          <w:pgMar w:left="980" w:top="891" w:right="339" w:bottom="1440" w:gutter="0" w:footer="0" w:header="0"/>
        </w:sectPr>
      </w:pPr>
    </w:p>
    <w:bookmarkStart w:id="43" w:name="page44"/>
    <w:bookmarkEnd w:id="43"/>
    <w:p>
      <w:pPr>
        <w:ind w:left="4"/>
        <w:spacing w:after="0" w:line="282" w:lineRule="auto"/>
        <w:rPr>
          <w:sz w:val="20"/>
          <w:szCs w:val="20"/>
          <w:color w:val="auto"/>
        </w:rPr>
      </w:pPr>
      <w:r>
        <w:rPr>
          <w:rFonts w:ascii="Times New Roman" w:cs="Times New Roman" w:eastAsia="Times New Roman" w:hAnsi="Times New Roman"/>
          <w:sz w:val="18"/>
          <w:szCs w:val="18"/>
          <w:color w:val="auto"/>
        </w:rPr>
        <w:t>investigating a suspected violation of law; or (ii) made in a complaint or other document filed in a lawsuit or other proceeding if such filing is made under seal.</w:t>
      </w:r>
    </w:p>
    <w:p>
      <w:pPr>
        <w:spacing w:after="0" w:line="189" w:lineRule="exact"/>
        <w:rPr>
          <w:sz w:val="20"/>
          <w:szCs w:val="20"/>
          <w:color w:val="auto"/>
        </w:rPr>
      </w:pPr>
    </w:p>
    <w:p>
      <w:pPr>
        <w:ind w:left="-656" w:right="20" w:firstLine="656"/>
        <w:spacing w:after="0" w:line="282"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Non-Assignment of Rights</w:t>
      </w:r>
      <w:r>
        <w:rPr>
          <w:rFonts w:ascii="Times New Roman" w:cs="Times New Roman" w:eastAsia="Times New Roman" w:hAnsi="Times New Roman"/>
          <w:sz w:val="18"/>
          <w:szCs w:val="18"/>
          <w:color w:val="auto"/>
        </w:rPr>
        <w:t>. Employee warrants that Employee has not assigned or transferred to any third party any right or claim described in the general release given in paragraph 4 above.</w:t>
      </w:r>
    </w:p>
    <w:p>
      <w:pPr>
        <w:spacing w:after="0" w:line="188" w:lineRule="exact"/>
        <w:rPr>
          <w:rFonts w:ascii="Times New Roman" w:cs="Times New Roman" w:eastAsia="Times New Roman" w:hAnsi="Times New Roman"/>
          <w:sz w:val="18"/>
          <w:szCs w:val="18"/>
          <w:color w:val="auto"/>
        </w:rPr>
      </w:pPr>
    </w:p>
    <w:p>
      <w:pPr>
        <w:ind w:left="-656" w:firstLine="656"/>
        <w:spacing w:after="0" w:line="282" w:lineRule="auto"/>
        <w:tabs>
          <w:tab w:leader="none" w:pos="30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 on Extraneous Information</w:t>
      </w:r>
      <w:r>
        <w:rPr>
          <w:rFonts w:ascii="Times New Roman" w:cs="Times New Roman" w:eastAsia="Times New Roman" w:hAnsi="Times New Roman"/>
          <w:sz w:val="18"/>
          <w:szCs w:val="18"/>
          <w:color w:val="auto"/>
        </w:rPr>
        <w:t>. Employee acknowledges that, in signing this Agreement, Employee is not relying on any information provided to Employee by the Company, nor is Employee relying upon the Company to provide any information.</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Modification</w:t>
      </w:r>
      <w:r>
        <w:rPr>
          <w:rFonts w:ascii="Times New Roman" w:cs="Times New Roman" w:eastAsia="Times New Roman" w:hAnsi="Times New Roman"/>
          <w:sz w:val="17"/>
          <w:szCs w:val="17"/>
          <w:color w:val="auto"/>
        </w:rPr>
        <w:t>. No provision of this Agreement shall be amended, waived, or modified except by an instrument in writing signed by the Parties.</w:t>
      </w:r>
    </w:p>
    <w:p>
      <w:pPr>
        <w:spacing w:after="0" w:line="263" w:lineRule="exact"/>
        <w:rPr>
          <w:rFonts w:ascii="Times New Roman" w:cs="Times New Roman" w:eastAsia="Times New Roman" w:hAnsi="Times New Roman"/>
          <w:sz w:val="17"/>
          <w:szCs w:val="17"/>
          <w:color w:val="auto"/>
        </w:rPr>
      </w:pPr>
    </w:p>
    <w:p>
      <w:pPr>
        <w:jc w:val="both"/>
        <w:ind w:left="-656" w:firstLine="656"/>
        <w:spacing w:after="0" w:line="261" w:lineRule="auto"/>
        <w:tabs>
          <w:tab w:leader="none" w:pos="5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Execution</w:t>
      </w:r>
      <w:r>
        <w:rPr>
          <w:rFonts w:ascii="Times New Roman" w:cs="Times New Roman" w:eastAsia="Times New Roman" w:hAnsi="Times New Roman"/>
          <w:sz w:val="18"/>
          <w:szCs w:val="18"/>
          <w:color w:val="auto"/>
        </w:rPr>
        <w:t>. Employee hereby represents that Employee has read and understands the contents of this Agreement, that no representations other than those contained herein have been made to induce Employee or to influence Employee to execute this Agreement, but that Employee executes this Agreement knowingly and voluntarily, after having received independent legal counsel of Employee’s own choosing, if Employee so chooses.</w:t>
      </w:r>
    </w:p>
    <w:p>
      <w:pPr>
        <w:spacing w:after="0" w:line="206"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43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found to be illegal or unenforceable, in whole or in part, such provision or part thereof shall be treated as severable, leaving valid the remainder of this Agreement, including the other provisions, which shall remain effective and enforceable to the greatest extent permitted by law.</w:t>
      </w:r>
    </w:p>
    <w:p>
      <w:pPr>
        <w:spacing w:after="0" w:line="202"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4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together with the Confidentiality Agreements, constitutes the entire understanding and agreement between the Parties with respect to the subject matter herein, and supersedes all prior all previous understandings, agreements, communications, and representations, whether written or oral, between the Parties regarding the subject matter of this Agreement, including that certain offer letter dated February 14, 2024, between Employee and the Company (the “</w:t>
      </w:r>
      <w:r>
        <w:rPr>
          <w:rFonts w:ascii="Times New Roman" w:cs="Times New Roman" w:eastAsia="Times New Roman" w:hAnsi="Times New Roman"/>
          <w:sz w:val="18"/>
          <w:szCs w:val="18"/>
          <w:b w:val="1"/>
          <w:bCs w:val="1"/>
          <w:color w:val="auto"/>
        </w:rPr>
        <w:t>Offer Letter</w:t>
      </w:r>
      <w:r>
        <w:rPr>
          <w:rFonts w:ascii="Times New Roman" w:cs="Times New Roman" w:eastAsia="Times New Roman" w:hAnsi="Times New Roman"/>
          <w:sz w:val="18"/>
          <w:szCs w:val="18"/>
          <w:color w:val="auto"/>
        </w:rPr>
        <w:t>”). No provision of this Agreement may be waived, nor shall any provision of this Agreement be amended or otherwise modified in any manner, except by a writing executed by the Parties hereto. The parties further acknowledge that they are not relying on any information or representations other than those recited in this Agreement.</w:t>
      </w:r>
    </w:p>
    <w:p>
      <w:pPr>
        <w:spacing w:after="0" w:line="214"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paragraph headings used herein are for convenience and shall not be deemed to modify or construe the provisions hereof.</w:t>
      </w:r>
    </w:p>
    <w:p>
      <w:pPr>
        <w:spacing w:after="0" w:line="252"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4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Non-Parties</w:t>
      </w:r>
      <w:r>
        <w:rPr>
          <w:rFonts w:ascii="Times New Roman" w:cs="Times New Roman" w:eastAsia="Times New Roman" w:hAnsi="Times New Roman"/>
          <w:sz w:val="18"/>
          <w:szCs w:val="18"/>
          <w:color w:val="auto"/>
        </w:rPr>
        <w:t>. All persons or entities against whom claims are released or waived by this Agreement are either party to or intended beneficiaries of this Agreement and shall have the same right and ability to enforce the release or waiver provided by this Agreement as though a party and signatory hereto.</w:t>
      </w:r>
    </w:p>
    <w:p>
      <w:pPr>
        <w:spacing w:after="0" w:line="202" w:lineRule="exact"/>
        <w:rPr>
          <w:rFonts w:ascii="Times New Roman" w:cs="Times New Roman" w:eastAsia="Times New Roman" w:hAnsi="Times New Roman"/>
          <w:sz w:val="18"/>
          <w:szCs w:val="18"/>
          <w:color w:val="auto"/>
        </w:rPr>
      </w:pPr>
    </w:p>
    <w:p>
      <w:pPr>
        <w:ind w:left="-656" w:right="20" w:firstLine="656"/>
        <w:spacing w:after="0" w:line="282" w:lineRule="auto"/>
        <w:tabs>
          <w:tab w:leader="none" w:pos="39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has been entered into in the State of Texas and shall be governed by the laws of the State of Texas, without regard to conflicts of law provisions or rules.</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5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Parties intend that this Agreement and the payments and other benefits provided hereunder be exempt from the requirements of Section 409A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to the maximum extent possible. Notwithstanding any provision of this Agreement to the contrary, this Agreement shall be interpreted, operated and administered in a manner consistent with such intentions. Without limiting the generality of the foregoing, and notwithstanding any provision of this Agreement to the contrary, with respect to any payments and benefits under this Agreement to which Code Section 409A applies, all references in this Agreement to the termination of Employee’s employment are intended to mean Employee’s “separation from service,” within the meaning of Code Section 409A(a)(2)(A)(i). Each series of installment payments made under this Agreement is hereby designated as a series of “separate payments” within the meaning of Section 409A of the Code. To the extent that any reimbursements under this Agreement are subject to Code Section 409A, any such reimbursements payable to the Employee shall be paid to the Employee no later than December 31 of the year following the year in which the expense was incurred; provided that the Employee submits the Employee’s reimbursement request promptly following the date the expense is incurred, the amount of expenses reimbursed in one year shall not affect the amount eligible for reimbursement in any subsequent year, other than medical expenses referred to in Section 105(b) of the Code, and the Employee’s right to reimbursement under this Agreement will not be subject to liquidation or exchange for another benefit.</w:t>
      </w:r>
    </w:p>
    <w:p>
      <w:pPr>
        <w:spacing w:after="0" w:line="216" w:lineRule="exact"/>
        <w:rPr>
          <w:rFonts w:ascii="Times New Roman" w:cs="Times New Roman" w:eastAsia="Times New Roman" w:hAnsi="Times New Roman"/>
          <w:sz w:val="18"/>
          <w:szCs w:val="18"/>
          <w:color w:val="auto"/>
        </w:rPr>
      </w:pPr>
    </w:p>
    <w:p>
      <w:pPr>
        <w:jc w:val="both"/>
        <w:ind w:left="-656" w:right="20" w:firstLine="656"/>
        <w:spacing w:after="0" w:line="266" w:lineRule="auto"/>
        <w:tabs>
          <w:tab w:leader="none" w:pos="4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dispute, claim or controversy based on, arising out of or relating to Employee’s employment or this Agreement shall be settled by final and binding arbitration in Dallas County, Texas, before a single neutral arbitrator in accordance with the JAMS Employment Arbitration Rules and Procedures (the “</w:t>
      </w:r>
      <w:r>
        <w:rPr>
          <w:rFonts w:ascii="Times New Roman" w:cs="Times New Roman" w:eastAsia="Times New Roman" w:hAnsi="Times New Roman"/>
          <w:sz w:val="18"/>
          <w:szCs w:val="18"/>
          <w:b w:val="1"/>
          <w:bCs w:val="1"/>
          <w:i w:val="1"/>
          <w:iCs w:val="1"/>
          <w:color w:val="auto"/>
        </w:rPr>
        <w:t>Rules</w:t>
      </w:r>
      <w:r>
        <w:rPr>
          <w:rFonts w:ascii="Times New Roman" w:cs="Times New Roman" w:eastAsia="Times New Roman" w:hAnsi="Times New Roman"/>
          <w:sz w:val="18"/>
          <w:szCs w:val="18"/>
          <w:color w:val="auto"/>
        </w:rPr>
        <w:t>”), and judgment on the award rendered</w:t>
      </w:r>
    </w:p>
    <w:p>
      <w:pPr>
        <w:sectPr>
          <w:pgSz w:w="11900" w:h="16838" w:orient="portrait"/>
          <w:cols w:equalWidth="0" w:num="1">
            <w:col w:w="10584"/>
          </w:cols>
          <w:pgMar w:left="976" w:top="891" w:right="339" w:bottom="1440" w:gutter="0" w:footer="0" w:header="0"/>
        </w:sectPr>
      </w:pPr>
    </w:p>
    <w:bookmarkStart w:id="44" w:name="page45"/>
    <w:bookmarkEnd w:id="44"/>
    <w:p>
      <w:pPr>
        <w:jc w:val="both"/>
        <w:spacing w:after="0" w:line="251" w:lineRule="auto"/>
        <w:rPr>
          <w:sz w:val="20"/>
          <w:szCs w:val="20"/>
          <w:color w:val="auto"/>
        </w:rPr>
      </w:pPr>
      <w:r>
        <w:rPr>
          <w:rFonts w:ascii="Times New Roman" w:cs="Times New Roman" w:eastAsia="Times New Roman" w:hAnsi="Times New Roman"/>
          <w:sz w:val="18"/>
          <w:szCs w:val="18"/>
          <w:color w:val="auto"/>
        </w:rPr>
        <w:t>by the arbitrator may be entered in any court having jurisdiction. The Rules may be found online at www.jamsadr.com. If the Parties are unable to agree upon an arbitrator, one shall be appointed by JAMS in accordance with its Rules. Each party shall pay the fees of its own attorneys, the expenses of its witnesses and all other expenses connected with presenting its case; provided, however, Employee and the Company agree that, to the extent permitted by law or as required by Section 18, the arbitrator shall award reasonable attorneys’ fees to the prevailing party. Other costs of the arbitration, including the cost of any record or transcripts of the arbitration, JAMS administrative fees, the fee of the arbitrator, and all other fees and costs, shall be borne equally by each side in the arbitration. This Section 17 is intended to be the exclusive method for resolving any and all claims by the Parties against each other for payment of damages under this Agreement or relating to Employee’s employment; provided, however, that Employee shall retain the right to file administrative charges with or seek relief through any government agency of competent jurisdiction, and to participate in any government investigation, including but not limited to (a) claims for workers’ compensation, state disability insurance or unemployment insurance; (b) administrative claims brought before any state or federal governmental authority; provided, however, that any appeal from an award or from denial of an award of wages and/or waiting time penalties shall be arbitrated pursuant to the terms of this Agreement; and (c) claims for administrative relief from the United States Equal Employment Opportunity Commission and/or any similar state agency in any applicable jurisdiction; provided, further, that Employee shall not be entitled to obtain any monetary relief through such agencies other than workers’ compensation benefits or unemployment insurance benefits. This Agreement shall not limit either party’s right to obtain any provisional remedy, including, without limitation, injunctive or similar relief, from any court of competent jurisdiction as may be necessary to protect their rights and interests pending the outcome of arbitration, including without limitation injunctive relief, in any court of competent jurisdiction. Seeking any such relief shall not be deemed to be a waiver of such party’s right to compel arbitration. Employee and the Company expressly waive all rights to a jury trial in court for any statutory or common law claims subject to arbitration as set forth herein. Employee further waives Employee’s right to pursue claims against the Company on a class or collective basis. Except as expressly provided in this Section 17, Employee and the Company agree that the arbitrator shall have the power and authority to interpret this Agreement and to determine whether a certain dispute or claim is subject to arbitration under this Agreement. Pursuant to The Ending Forced Arbitration of Sexual Assault and Sexual Harassment Act, however, the Parties agree that only a court shall determine whether a claim relates to a “sexual assault dispute” or a “sexual harassment dispute” (as those terms are defined in the statute) and is therefore not subject to arbitration. Except in the case of claims that may relate to a “sexual harassment dispute” or “sexual assault dispute,” the power and authority to determine arbitrability is hereby expressly delegated to the appointed arbitrator and not to any judge or court to the fullest extent allowed by law. The Parties agree that any arbitration pursuant to this Section 17 is to remain confidential, except for any proceeding to confirm or vacate an arbitration award.</w:t>
      </w:r>
    </w:p>
    <w:p>
      <w:pPr>
        <w:spacing w:after="0" w:line="231" w:lineRule="exact"/>
        <w:rPr>
          <w:sz w:val="20"/>
          <w:szCs w:val="20"/>
          <w:color w:val="auto"/>
        </w:rPr>
      </w:pPr>
    </w:p>
    <w:p>
      <w:pPr>
        <w:jc w:val="both"/>
        <w:ind w:firstLine="656"/>
        <w:spacing w:after="0" w:line="266" w:lineRule="auto"/>
        <w:tabs>
          <w:tab w:leader="none" w:pos="10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 Fees</w:t>
      </w:r>
      <w:r>
        <w:rPr>
          <w:rFonts w:ascii="Times New Roman" w:cs="Times New Roman" w:eastAsia="Times New Roman" w:hAnsi="Times New Roman"/>
          <w:sz w:val="18"/>
          <w:szCs w:val="18"/>
          <w:color w:val="auto"/>
        </w:rPr>
        <w:t>. In any action to interpret or enforce the terms of this Agreement, the prevailing party shall be entitled to recover from the non-prevailing party, in each case as determined by the court, in addition to its court costs, to such reasonable attorneys’ fees, expert witness fees, and legal expenses, in addition to any other relief to which such party may be entitled and as may be fixed by the court.</w:t>
      </w:r>
    </w:p>
    <w:p>
      <w:pPr>
        <w:spacing w:after="0" w:line="202"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Against Heirs</w:t>
      </w:r>
      <w:r>
        <w:rPr>
          <w:rFonts w:ascii="Times New Roman" w:cs="Times New Roman" w:eastAsia="Times New Roman" w:hAnsi="Times New Roman"/>
          <w:sz w:val="18"/>
          <w:szCs w:val="18"/>
          <w:color w:val="auto"/>
        </w:rPr>
        <w:t>. This Agreement, including the terms and provisions thereof, shall bind and benefit the Parties; their officers, agents, and employees; any parent, subsidiary, or affiliated companies thereof; any individuals signatory hereto and their heirs and executors; and any authorized successors, legal representatives, and permitted assigns of any of the foregoing.</w:t>
      </w:r>
    </w:p>
    <w:p>
      <w:pPr>
        <w:spacing w:after="0" w:line="202"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w:t>
      </w:r>
      <w:r>
        <w:rPr>
          <w:rFonts w:ascii="Times New Roman" w:cs="Times New Roman" w:eastAsia="Times New Roman" w:hAnsi="Times New Roman"/>
          <w:sz w:val="18"/>
          <w:szCs w:val="18"/>
          <w:color w:val="auto"/>
        </w:rPr>
        <w:t>. No failure to exercise or enforce or delay in exercising or enforcing, or partial exercise or enforcement of, any right, obligation or commitment under this Agreement shall constitute a waiver thereof, nor shall it preclude any other or further exercise or enforcement of any right, obligation or commitment under this Agreement.</w:t>
      </w:r>
    </w:p>
    <w:p>
      <w:pPr>
        <w:spacing w:after="0" w:line="202" w:lineRule="exact"/>
        <w:rPr>
          <w:rFonts w:ascii="Times New Roman" w:cs="Times New Roman" w:eastAsia="Times New Roman" w:hAnsi="Times New Roman"/>
          <w:sz w:val="18"/>
          <w:szCs w:val="18"/>
          <w:color w:val="auto"/>
        </w:rPr>
      </w:pPr>
    </w:p>
    <w:p>
      <w:pPr>
        <w:ind w:firstLine="656"/>
        <w:spacing w:after="0" w:line="282" w:lineRule="auto"/>
        <w:tabs>
          <w:tab w:leader="none" w:pos="10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The Parties hereto acknowledge and agree that this Agreement does not constitute an admission of liability by any party and that each party denies liability to any other party.</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by Counterparts</w:t>
      </w:r>
      <w:r>
        <w:rPr>
          <w:rFonts w:ascii="Times New Roman" w:cs="Times New Roman" w:eastAsia="Times New Roman" w:hAnsi="Times New Roman"/>
          <w:sz w:val="18"/>
          <w:szCs w:val="18"/>
          <w:color w:val="auto"/>
        </w:rPr>
        <w:t>. This Agreement may be executed in one or more counterpart(s), each of which is deemed an original, all of which together constitute one and the same agreement and shall be valid and enforceable as an original as though all original signatures had been obtained on the same signature page of this Agreement.</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11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Employee acknowledges that all payments to her pursuant to this Agreement shall be subject to all applicable taxes and withholdings and reported on a Form W-2.</w:t>
      </w:r>
    </w:p>
    <w:p>
      <w:pPr>
        <w:spacing w:after="0" w:line="18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240"/>
          </w:cols>
          <w:pgMar w:left="320" w:top="891"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7"/>
          <w:szCs w:val="17"/>
          <w:color w:val="auto"/>
        </w:rPr>
        <w:t>IN WITNESS WHEREOF, and intending to be legally bound, the Parties have executed the foregoing Agreement as of the date first written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311" w:lineRule="exact"/>
        <w:rPr>
          <w:sz w:val="20"/>
          <w:szCs w:val="20"/>
          <w:color w:val="auto"/>
        </w:rPr>
      </w:pPr>
    </w:p>
    <w:tbl>
      <w:tblPr>
        <w:tblLayout w:type="fixed"/>
        <w:tblInd w:w="102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146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BEYOND, INC.</w:t>
            </w:r>
          </w:p>
        </w:tc>
      </w:tr>
      <w:tr>
        <w:trPr>
          <w:trHeight w:val="540"/>
        </w:trPr>
        <w:tc>
          <w:tcPr>
            <w:tcW w:w="98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Borders>
              <w:bottom w:val="single" w:sz="8" w:color="auto"/>
            </w:tcBorders>
          </w:tcPr>
          <w:p>
            <w:pPr>
              <w:spacing w:after="0"/>
              <w:rPr>
                <w:sz w:val="24"/>
                <w:szCs w:val="24"/>
                <w:color w:val="auto"/>
              </w:rPr>
            </w:pPr>
          </w:p>
        </w:tc>
      </w:tr>
      <w:tr>
        <w:trPr>
          <w:trHeight w:val="52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  Chandra Holt</w:t>
            </w:r>
          </w:p>
        </w:tc>
        <w:tc>
          <w:tcPr>
            <w:tcW w:w="1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Print Name:</w:t>
            </w:r>
          </w:p>
        </w:tc>
        <w:tc>
          <w:tcPr>
            <w:tcW w:w="3380" w:type="dxa"/>
            <w:vAlign w:val="bottom"/>
            <w:tcBorders>
              <w:bottom w:val="single" w:sz="8" w:color="auto"/>
            </w:tcBorders>
          </w:tcPr>
          <w:p>
            <w:pPr>
              <w:spacing w:after="0"/>
              <w:rPr>
                <w:sz w:val="24"/>
                <w:szCs w:val="24"/>
                <w:color w:val="auto"/>
              </w:rPr>
            </w:pPr>
          </w:p>
        </w:tc>
      </w:tr>
      <w:tr>
        <w:trPr>
          <w:trHeight w:val="52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00" w:type="dxa"/>
            <w:vAlign w:val="bottom"/>
            <w:tcBorders>
              <w:bottom w:val="single" w:sz="8" w:color="auto"/>
            </w:tcBorders>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Borders>
              <w:bottom w:val="single" w:sz="8" w:color="auto"/>
            </w:tcBorders>
          </w:tcPr>
          <w:p>
            <w:pPr>
              <w:spacing w:after="0"/>
              <w:rPr>
                <w:sz w:val="24"/>
                <w:szCs w:val="24"/>
                <w:color w:val="auto"/>
              </w:rPr>
            </w:pPr>
          </w:p>
        </w:tc>
      </w:tr>
      <w:tr>
        <w:trPr>
          <w:trHeight w:val="520"/>
        </w:trPr>
        <w:tc>
          <w:tcPr>
            <w:tcW w:w="9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Date:</w:t>
            </w: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0720"/>
          </w:cols>
          <w:pgMar w:left="320" w:top="1134" w:right="85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CONFIDENTIALITY AGREEMENTS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9019"/>
          </w:cols>
          <w:pgMar w:left="1440" w:top="882" w:right="1440" w:bottom="1440" w:gutter="0" w:footer="0" w:header="0"/>
        </w:sectPr>
      </w:pPr>
    </w:p>
    <w:bookmarkStart w:id="47" w:name="page48"/>
    <w:bookmarkEnd w:id="47"/>
    <w:p>
      <w:pPr>
        <w:ind w:left="1032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161616"/>
        </w:rPr>
        <w:t>BEYOND,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161616"/>
        </w:rPr>
        <w:t>RESTRICTED STOCK UNIT GRANT NOTICE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161616"/>
        </w:rPr>
        <w:t>(2005 Equity Incentive Plan)</w:t>
      </w:r>
    </w:p>
    <w:p>
      <w:pPr>
        <w:spacing w:after="0" w:line="23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Beyond, Inc. (the "Company"), pursuant to its Amended and Restated 2005 Equity Incentive Plan as may be amended and/or restated from time to time (the "Plan"), hereby grants to the participant under the Plan (the "Participant") restricted stock units ("RSUs") constituting the right to purchase the number of shares of the Company's common stock (the "Common Stock” or “BYON") set forth below (the "Award"). This Award is subject to all of the terms and conditions as set forth in this Restricted Stock Unit Grant Notice (the "Grant Notice"), the Restricted Stock Unit Agreement attached hereto and the Plan, a copy of which has previously been furnished to the Participant, all of which are incorporated herein in their entirety.</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4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Participant:</w:t>
            </w:r>
          </w:p>
        </w:tc>
        <w:tc>
          <w:tcPr>
            <w:tcW w:w="68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8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Grant:</w:t>
            </w:r>
          </w:p>
        </w:tc>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8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RSUs Awarded to Participant:</w:t>
            </w:r>
          </w:p>
        </w:tc>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of Shares]</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8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161616"/>
              </w:rPr>
              <w:t>Purchase Price per Share:</w:t>
            </w:r>
          </w:p>
        </w:tc>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$0.0001</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8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161616"/>
              </w:rPr>
              <w:t>Total Purchase Price:</w:t>
            </w:r>
          </w:p>
        </w:tc>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80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46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161616"/>
              </w:rPr>
              <w:t>Vesting Schedule:</w:t>
            </w:r>
          </w:p>
        </w:tc>
        <w:tc>
          <w:tcPr>
            <w:tcW w:w="68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[Participant will vest in [vest percentage] of the RSUs awarded by this Agreement at the</w:t>
            </w:r>
          </w:p>
        </w:tc>
      </w:tr>
      <w:tr>
        <w:trPr>
          <w:trHeight w:val="203"/>
        </w:trPr>
        <w:tc>
          <w:tcPr>
            <w:tcW w:w="4460" w:type="dxa"/>
            <w:vAlign w:val="bottom"/>
            <w:tcBorders>
              <w:left w:val="single" w:sz="8" w:color="auto"/>
              <w:right w:val="single" w:sz="8" w:color="auto"/>
            </w:tcBorders>
          </w:tcPr>
          <w:p>
            <w:pPr>
              <w:spacing w:after="0"/>
              <w:rPr>
                <w:sz w:val="17"/>
                <w:szCs w:val="17"/>
                <w:color w:val="auto"/>
              </w:rPr>
            </w:pPr>
          </w:p>
        </w:tc>
        <w:tc>
          <w:tcPr>
            <w:tcW w:w="68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close of business on [date or dates], subject to the provisions of the Restricted Stock Unit</w:t>
            </w:r>
          </w:p>
        </w:tc>
      </w:tr>
      <w:tr>
        <w:trPr>
          <w:trHeight w:val="234"/>
        </w:trPr>
        <w:tc>
          <w:tcPr>
            <w:tcW w:w="4460" w:type="dxa"/>
            <w:vAlign w:val="bottom"/>
            <w:tcBorders>
              <w:left w:val="single" w:sz="8" w:color="auto"/>
              <w:right w:val="single" w:sz="8" w:color="auto"/>
            </w:tcBorders>
          </w:tcPr>
          <w:p>
            <w:pPr>
              <w:spacing w:after="0"/>
              <w:rPr>
                <w:sz w:val="20"/>
                <w:szCs w:val="20"/>
                <w:color w:val="auto"/>
              </w:rPr>
            </w:pPr>
          </w:p>
        </w:tc>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Agreement attached hereto and the Plan.].</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191"/>
        </w:trPr>
        <w:tc>
          <w:tcPr>
            <w:tcW w:w="446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161616"/>
              </w:rPr>
              <w:t>Payment:</w:t>
            </w:r>
          </w:p>
        </w:tc>
        <w:tc>
          <w:tcPr>
            <w:tcW w:w="68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As described in the Restricted Stock Unit Agreement, the par value for the shares must be</w:t>
            </w:r>
          </w:p>
        </w:tc>
      </w:tr>
      <w:tr>
        <w:trPr>
          <w:trHeight w:val="234"/>
        </w:trPr>
        <w:tc>
          <w:tcPr>
            <w:tcW w:w="4460" w:type="dxa"/>
            <w:vAlign w:val="bottom"/>
            <w:tcBorders>
              <w:left w:val="single" w:sz="8" w:color="auto"/>
              <w:right w:val="single" w:sz="8" w:color="auto"/>
            </w:tcBorders>
          </w:tcPr>
          <w:p>
            <w:pPr>
              <w:spacing w:after="0"/>
              <w:rPr>
                <w:sz w:val="20"/>
                <w:szCs w:val="20"/>
                <w:color w:val="auto"/>
              </w:rPr>
            </w:pPr>
          </w:p>
        </w:tc>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in cash, by check or as consideration for past services to the Company.</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bl>
    <w:p>
      <w:pPr>
        <w:spacing w:after="0" w:line="31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Additional Terms/Acknowledgements: </w:t>
      </w:r>
      <w:r>
        <w:rPr>
          <w:rFonts w:ascii="Times New Roman" w:cs="Times New Roman" w:eastAsia="Times New Roman" w:hAnsi="Times New Roman"/>
          <w:sz w:val="18"/>
          <w:szCs w:val="18"/>
          <w:color w:val="auto"/>
        </w:rPr>
        <w:t>The undersigned Participant acknowledges receipt of and understands and agrees to the terms and conditions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Notice, the Restricted Stock Unit Agreement, and the Plan, and agrees that his or her signature of this Grant Notice shall also be deemed his or her signature of the attached Restricted Stock Unit Agreement. Participant further acknowledges that as of the Date of Grant, this Grant Notice, the Restricted Stock Unit Agreement and the Plan set forth the entire understanding between Participant and the Company regarding the matters addressed herein and therein and supersede all prior oral and written agreements relating thereto, with the exception of any other awards previously granted and delivered to Participant under the Plan.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Beyond, Inc.</w:t>
            </w: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0" w:type="dxa"/>
            <w:vAlign w:val="bottom"/>
          </w:tcPr>
          <w:p>
            <w:pPr>
              <w:spacing w:after="0"/>
              <w:rPr>
                <w:sz w:val="1"/>
                <w:szCs w:val="1"/>
                <w:color w:val="auto"/>
              </w:rPr>
            </w:pPr>
          </w:p>
        </w:tc>
      </w:tr>
      <w:tr>
        <w:trPr>
          <w:trHeight w:val="499"/>
        </w:trPr>
        <w:tc>
          <w:tcPr>
            <w:tcW w:w="5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Print Name:</w:t>
            </w:r>
          </w:p>
        </w:tc>
        <w:tc>
          <w:tcPr>
            <w:tcW w:w="0" w:type="dxa"/>
            <w:vAlign w:val="bottom"/>
          </w:tcPr>
          <w:p>
            <w:pPr>
              <w:spacing w:after="0"/>
              <w:rPr>
                <w:sz w:val="1"/>
                <w:szCs w:val="1"/>
                <w:color w:val="auto"/>
              </w:rPr>
            </w:pPr>
          </w:p>
        </w:tc>
      </w:tr>
      <w:tr>
        <w:trPr>
          <w:trHeight w:val="228"/>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400" w:type="dxa"/>
            <w:vAlign w:val="bottom"/>
            <w:tcBorders>
              <w:bottom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820" w:type="dxa"/>
            <w:vAlign w:val="bottom"/>
            <w:gridSpan w:val="2"/>
            <w:vMerge w:val="continue"/>
          </w:tcPr>
          <w:p>
            <w:pPr>
              <w:spacing w:after="0"/>
              <w:rPr>
                <w:sz w:val="19"/>
                <w:szCs w:val="19"/>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95"/>
        </w:trPr>
        <w:tc>
          <w:tcPr>
            <w:tcW w:w="5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87" w:right="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161616"/>
        </w:rPr>
        <w:t>BEYOND,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61616"/>
        </w:rPr>
        <w:t>RESTRICTED STOCK UNIT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61616"/>
        </w:rPr>
        <w:t>(2005 Equity Incentive Plan)</w:t>
      </w:r>
    </w:p>
    <w:p>
      <w:pPr>
        <w:spacing w:after="0" w:line="220" w:lineRule="exact"/>
        <w:rPr>
          <w:sz w:val="20"/>
          <w:szCs w:val="20"/>
          <w:color w:val="auto"/>
        </w:rPr>
      </w:pPr>
    </w:p>
    <w:p>
      <w:pPr>
        <w:ind w:left="-20" w:right="100" w:firstLine="656"/>
        <w:spacing w:after="0" w:line="242" w:lineRule="auto"/>
        <w:tabs>
          <w:tab w:leader="none" w:pos="808"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Grant</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The Company hereby grants to the Participant named in the Restricted Stock Unit Grant Notice attached hereto an award of Restricted</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Stock Units (“RSUs”), as set forth in the Restricted Stock Unit Grant Notice and subject to the terms and conditions in this Agreement and the Company’s 2005 Equity Incentive Plan (the “Plan”). When the Shares are issued pursuant to RSUs which vest in accordance with the terms hereof, the par value per Share will be deemed paid by the Participant as a result of services rendered by the Participant prior to the applicable vesting date. Terms used but not defined herein have the meanings given them in the Plan.</w:t>
      </w:r>
    </w:p>
    <w:p>
      <w:pPr>
        <w:spacing w:after="0" w:line="211" w:lineRule="exact"/>
        <w:rPr>
          <w:rFonts w:ascii="Times New Roman" w:cs="Times New Roman" w:eastAsia="Times New Roman" w:hAnsi="Times New Roman"/>
          <w:sz w:val="18"/>
          <w:szCs w:val="18"/>
          <w:color w:val="161616"/>
        </w:rPr>
      </w:pPr>
    </w:p>
    <w:p>
      <w:pPr>
        <w:ind w:left="-20" w:right="60" w:firstLine="656"/>
        <w:spacing w:after="0" w:line="242" w:lineRule="auto"/>
        <w:tabs>
          <w:tab w:leader="none" w:pos="808"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Company's Obligation</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Each RSU represents the right to receive one Share on the vesting date of that RSU. Unless and until the RSUs vest, the</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Participant will have no right to receive any Shares under such RSUs. Prior to actual distribution of Shares pursuant to any vested RSUs, such RSUs will represent an unsecured obligation of the Company, payable (if at all) only from the general assets of the Company.</w:t>
      </w:r>
    </w:p>
    <w:p>
      <w:pPr>
        <w:spacing w:after="0" w:line="210" w:lineRule="exact"/>
        <w:rPr>
          <w:rFonts w:ascii="Times New Roman" w:cs="Times New Roman" w:eastAsia="Times New Roman" w:hAnsi="Times New Roman"/>
          <w:sz w:val="18"/>
          <w:szCs w:val="18"/>
          <w:color w:val="161616"/>
        </w:rPr>
      </w:pPr>
    </w:p>
    <w:p>
      <w:pPr>
        <w:ind w:left="-20" w:right="240" w:firstLine="656"/>
        <w:spacing w:after="0" w:line="266" w:lineRule="auto"/>
        <w:tabs>
          <w:tab w:leader="none" w:pos="808"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Vesting Schedule</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Subject to paragraph 4, the Participant will vest in the RSUs awarded by this Agreement according to the vesting schedule</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specified in the Restricted Stock Unit Grant Notice.</w:t>
      </w:r>
    </w:p>
    <w:p>
      <w:pPr>
        <w:spacing w:after="0" w:line="189" w:lineRule="exact"/>
        <w:rPr>
          <w:rFonts w:ascii="Times New Roman" w:cs="Times New Roman" w:eastAsia="Times New Roman" w:hAnsi="Times New Roman"/>
          <w:sz w:val="18"/>
          <w:szCs w:val="18"/>
          <w:color w:val="161616"/>
        </w:rPr>
      </w:pPr>
    </w:p>
    <w:p>
      <w:pPr>
        <w:ind w:left="-20" w:right="240" w:firstLine="656"/>
        <w:spacing w:after="0" w:line="266" w:lineRule="auto"/>
        <w:tabs>
          <w:tab w:leader="none" w:pos="808"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Administrator Discretion</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The Administrator, in its discretion, may accelerate the vesting of any or all of the RSUs at any time, subject to the</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terms of the Plan. If so accelerated, such RSUs will be considered as having vested as of the date specified by the Administrator.</w:t>
      </w:r>
    </w:p>
    <w:p>
      <w:pPr>
        <w:spacing w:after="0" w:line="189" w:lineRule="exact"/>
        <w:rPr>
          <w:rFonts w:ascii="Times New Roman" w:cs="Times New Roman" w:eastAsia="Times New Roman" w:hAnsi="Times New Roman"/>
          <w:sz w:val="18"/>
          <w:szCs w:val="18"/>
          <w:color w:val="161616"/>
        </w:rPr>
      </w:pPr>
    </w:p>
    <w:p>
      <w:pPr>
        <w:ind w:left="-20" w:right="60" w:firstLine="656"/>
        <w:spacing w:after="0" w:line="250" w:lineRule="auto"/>
        <w:tabs>
          <w:tab w:leader="none" w:pos="808"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Forfeiture upon Termination as Service Provider</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Except as otherwise determined by the Administrator, if the status of the Participant as a</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Service Provider is terminated for any reason or no reason prior to vesting, the unvested RSUs awarded by this Agreement will thereupon terminate and be forfeited at no cost to the Company and without any payment to the Participant</w:t>
      </w:r>
      <w:r>
        <w:rPr>
          <w:rFonts w:ascii="Times New Roman" w:cs="Times New Roman" w:eastAsia="Times New Roman" w:hAnsi="Times New Roman"/>
          <w:sz w:val="18"/>
          <w:szCs w:val="18"/>
          <w:color w:val="161616"/>
        </w:rPr>
        <w:t>.</w:t>
      </w:r>
    </w:p>
    <w:p>
      <w:pPr>
        <w:spacing w:after="0" w:line="203" w:lineRule="exact"/>
        <w:rPr>
          <w:rFonts w:ascii="Times New Roman" w:cs="Times New Roman" w:eastAsia="Times New Roman" w:hAnsi="Times New Roman"/>
          <w:sz w:val="18"/>
          <w:szCs w:val="18"/>
          <w:color w:val="161616"/>
        </w:rPr>
      </w:pPr>
    </w:p>
    <w:p>
      <w:pPr>
        <w:ind w:left="-20" w:right="60" w:firstLine="656"/>
        <w:spacing w:after="0" w:line="238" w:lineRule="auto"/>
        <w:tabs>
          <w:tab w:leader="none" w:pos="808"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Payment upon Vesting</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Any RSUs that vest will be paid to the Participant (or in the event of the Participant's death, to his or her estate or</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designated beneficiaries) in Shares within ten (10) days following the date those RSUs vest in accordance with the vesting schedule set forth in the Restricted Stock Unit Grant Notice or as soon thereafter as practicable, subject to the tax withholding provisions of paragraph 8. For each RSU that vests, the Participant will receive one Share. In no event shall the Shares be issued later than the fifteenth (15th) day of the third (3rd) calendar month following the calendar year in which such RSUs vest. Notwithstanding anything herein to the contrary, the Participant shall not be permitted, directly or indirectly, to designate the taxable year in which the Shares shall be issued</w:t>
      </w:r>
      <w:r>
        <w:rPr>
          <w:rFonts w:ascii="Times New Roman" w:cs="Times New Roman" w:eastAsia="Times New Roman" w:hAnsi="Times New Roman"/>
          <w:sz w:val="18"/>
          <w:szCs w:val="18"/>
          <w:color w:val="161616"/>
        </w:rPr>
        <w:t>.</w:t>
      </w:r>
    </w:p>
    <w:p>
      <w:pPr>
        <w:spacing w:after="0" w:line="210" w:lineRule="exact"/>
        <w:rPr>
          <w:rFonts w:ascii="Times New Roman" w:cs="Times New Roman" w:eastAsia="Times New Roman" w:hAnsi="Times New Roman"/>
          <w:sz w:val="18"/>
          <w:szCs w:val="18"/>
          <w:color w:val="161616"/>
        </w:rPr>
      </w:pPr>
    </w:p>
    <w:p>
      <w:pPr>
        <w:ind w:left="-20" w:right="80" w:firstLine="656"/>
        <w:spacing w:after="0" w:line="241" w:lineRule="auto"/>
        <w:tabs>
          <w:tab w:leader="none" w:pos="808"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Payments after Death</w:t>
      </w:r>
      <w:r>
        <w:rPr>
          <w:rFonts w:ascii="Times New Roman" w:cs="Times New Roman" w:eastAsia="Times New Roman" w:hAnsi="Times New Roman"/>
          <w:sz w:val="18"/>
          <w:szCs w:val="18"/>
          <w:i w:val="1"/>
          <w:iCs w:val="1"/>
          <w:color w:val="161616"/>
        </w:rPr>
        <w:t>.</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Any distribution or delivery of Shares to be made to the Participant in accordance with the provisions of this Agreement</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will, if the Participant is then deceased, be made to the administrator or executor of the Participant’s estate or the designated beneficiary or beneficiaries of the RSUs. The Shares shall be issued on the issuance date determined in accordance with the provisions of paragraph 6. Any such administrator, executor or beneficiary must furnish the Company with (a) written notice of his or her status as such and (b) evidence satisfactory to the Company to establish the validity of the transfer and compliance with any laws or regulations pertaining to said transfer. The Participant may make a beneficiary designation with respect to the RSUs by filing the appropriate form with the Administrator or its designate</w:t>
      </w:r>
    </w:p>
    <w:p>
      <w:pPr>
        <w:spacing w:after="0" w:line="210" w:lineRule="exact"/>
        <w:rPr>
          <w:rFonts w:ascii="Times New Roman" w:cs="Times New Roman" w:eastAsia="Times New Roman" w:hAnsi="Times New Roman"/>
          <w:sz w:val="18"/>
          <w:szCs w:val="18"/>
          <w:color w:val="161616"/>
        </w:rPr>
      </w:pPr>
    </w:p>
    <w:p>
      <w:pPr>
        <w:ind w:left="-20" w:right="320" w:firstLine="656"/>
        <w:spacing w:after="0" w:line="273" w:lineRule="auto"/>
        <w:tabs>
          <w:tab w:leader="none" w:pos="808" w:val="left"/>
        </w:tabs>
        <w:numPr>
          <w:ilvl w:val="0"/>
          <w:numId w:val="23"/>
        </w:numPr>
        <w:rPr>
          <w:rFonts w:ascii="Times New Roman" w:cs="Times New Roman" w:eastAsia="Times New Roman" w:hAnsi="Times New Roman"/>
          <w:sz w:val="17"/>
          <w:szCs w:val="17"/>
          <w:color w:val="161616"/>
        </w:rPr>
      </w:pPr>
      <w:r>
        <w:rPr>
          <w:rFonts w:ascii="Times New Roman" w:cs="Times New Roman" w:eastAsia="Times New Roman" w:hAnsi="Times New Roman"/>
          <w:sz w:val="17"/>
          <w:szCs w:val="17"/>
          <w:u w:val="single" w:color="auto"/>
          <w:color w:val="161616"/>
        </w:rPr>
        <w:t>Adjustment in Shares</w:t>
      </w:r>
      <w:r>
        <w:rPr>
          <w:rFonts w:ascii="Times New Roman" w:cs="Times New Roman" w:eastAsia="Times New Roman" w:hAnsi="Times New Roman"/>
          <w:sz w:val="17"/>
          <w:szCs w:val="17"/>
          <w:i w:val="1"/>
          <w:iCs w:val="1"/>
          <w:color w:val="161616"/>
        </w:rPr>
        <w:t>.</w:t>
      </w:r>
      <w:r>
        <w:rPr>
          <w:rFonts w:ascii="Times New Roman" w:cs="Times New Roman" w:eastAsia="Times New Roman" w:hAnsi="Times New Roman"/>
          <w:sz w:val="17"/>
          <w:szCs w:val="17"/>
          <w:color w:val="161616"/>
        </w:rPr>
        <w:t xml:space="preserve"> </w:t>
      </w:r>
      <w:r>
        <w:rPr>
          <w:rFonts w:ascii="Times New Roman" w:cs="Times New Roman" w:eastAsia="Times New Roman" w:hAnsi="Times New Roman"/>
          <w:sz w:val="17"/>
          <w:szCs w:val="17"/>
          <w:color w:val="000000"/>
        </w:rPr>
        <w:t>Should any event described in Section 16(a) of the Plan occur, then equitable adjustments shall be made by the</w:t>
      </w:r>
      <w:r>
        <w:rPr>
          <w:rFonts w:ascii="Times New Roman" w:cs="Times New Roman" w:eastAsia="Times New Roman" w:hAnsi="Times New Roman"/>
          <w:sz w:val="17"/>
          <w:szCs w:val="17"/>
          <w:color w:val="161616"/>
        </w:rPr>
        <w:t xml:space="preserve"> </w:t>
      </w:r>
      <w:r>
        <w:rPr>
          <w:rFonts w:ascii="Times New Roman" w:cs="Times New Roman" w:eastAsia="Times New Roman" w:hAnsi="Times New Roman"/>
          <w:sz w:val="17"/>
          <w:szCs w:val="17"/>
          <w:color w:val="000000"/>
        </w:rPr>
        <w:t>Administrator to the total number and/or class of securities issuable pursuant to this Award as permitted by the Plan. Such adjustments shall be made in such manner as the Administrator deems appropriate so as to prevent dilution or enlargement of the benefits intended to be made available hereunder</w:t>
      </w:r>
      <w:r>
        <w:rPr>
          <w:rFonts w:ascii="Times New Roman" w:cs="Times New Roman" w:eastAsia="Times New Roman" w:hAnsi="Times New Roman"/>
          <w:sz w:val="17"/>
          <w:szCs w:val="17"/>
          <w:color w:val="161616"/>
        </w:rPr>
        <w:t>.</w:t>
      </w:r>
    </w:p>
    <w:p>
      <w:pPr>
        <w:spacing w:after="0" w:line="185" w:lineRule="exact"/>
        <w:rPr>
          <w:rFonts w:ascii="Times New Roman" w:cs="Times New Roman" w:eastAsia="Times New Roman" w:hAnsi="Times New Roman"/>
          <w:sz w:val="17"/>
          <w:szCs w:val="17"/>
          <w:color w:val="161616"/>
        </w:rPr>
      </w:pPr>
    </w:p>
    <w:p>
      <w:pPr>
        <w:ind w:left="-20" w:firstLine="656"/>
        <w:spacing w:after="0" w:line="236" w:lineRule="auto"/>
        <w:tabs>
          <w:tab w:leader="none" w:pos="808"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Withholding of Taxes</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When the Shares are issued as payment for vested RSUs, the Company will withhold a portion of the Shares that have an</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aggregate Fair Market Value sufficient to pay the minimum federal, state and local income, employment and any other applicable taxes required to be withheld by the Company or such higher withholding rate as may be determined by the Company, which rate shall in no event exceed the maximum individual statutory tax rate in the applicable jurisdiction at the time of such withholding (or such other rate as may be required to avoid adverse accounting consequences), unless the Company, in its sole discretion, either requires or otherwise permits the Participant to make alternate arrangements satisfactory to the Company for such withholdings in advance of the arising of any withholding obligations. The number of Shares withheld pursuant to the prior sentence will be rounded up to the nearest whole Share, with no cash payment due the Participant for the value of any Share withheld in excess of the tax obligation as a result of such rounding. Notwithstanding any contrary provision of this Agreement, no Shares will be issued unless and until satisfactory arrangements (as determined by the Company) have been made by the Participant with respect to the payment of any income and other taxes which the Company determines must be withheld or collected with respect to such Shares. In addition, and to the maximum extent permitted by law, the Company (or the employing Subsidiary) has the right to retain without notice from salary or other amounts payable to the</w:t>
      </w:r>
    </w:p>
    <w:p>
      <w:pPr>
        <w:sectPr>
          <w:pgSz w:w="11900" w:h="16838" w:orient="portrait"/>
          <w:cols w:equalWidth="0" w:num="1">
            <w:col w:w="11200"/>
          </w:cols>
          <w:pgMar w:left="340" w:top="887" w:right="359" w:bottom="1440" w:gutter="0" w:footer="0" w:header="0"/>
        </w:sectPr>
      </w:pPr>
    </w:p>
    <w:bookmarkStart w:id="49" w:name="page50"/>
    <w:bookmarkEnd w:id="49"/>
    <w:p>
      <w:pPr>
        <w:spacing w:after="0" w:line="245" w:lineRule="auto"/>
        <w:rPr>
          <w:sz w:val="20"/>
          <w:szCs w:val="20"/>
          <w:color w:val="auto"/>
        </w:rPr>
      </w:pPr>
      <w:r>
        <w:rPr>
          <w:rFonts w:ascii="Times New Roman" w:cs="Times New Roman" w:eastAsia="Times New Roman" w:hAnsi="Times New Roman"/>
          <w:sz w:val="18"/>
          <w:szCs w:val="18"/>
          <w:color w:val="auto"/>
        </w:rPr>
        <w:t>Participant, cash having a sufficient value to satisfy any tax withholding obligations that the Company determines cannot be satisfied through the withholding of otherwise deliverable Shares. All income and other taxes related to the RSU award, and any Shares delivered in payment thereof are the sole responsibility of the Participant. By accepting this RSU award, the Participant expressly consents to the withholding of Shares and to any additional cash withholding as provided for in this paragraph 9</w:t>
      </w:r>
      <w:r>
        <w:rPr>
          <w:rFonts w:ascii="Times New Roman" w:cs="Times New Roman" w:eastAsia="Times New Roman" w:hAnsi="Times New Roman"/>
          <w:sz w:val="18"/>
          <w:szCs w:val="18"/>
          <w:color w:val="161616"/>
        </w:rPr>
        <w:t>.</w:t>
      </w:r>
    </w:p>
    <w:p>
      <w:pPr>
        <w:spacing w:after="0" w:line="208" w:lineRule="exact"/>
        <w:rPr>
          <w:sz w:val="20"/>
          <w:szCs w:val="20"/>
          <w:color w:val="auto"/>
        </w:rPr>
      </w:pPr>
    </w:p>
    <w:p>
      <w:pPr>
        <w:ind w:firstLine="656"/>
        <w:spacing w:after="0" w:line="250" w:lineRule="auto"/>
        <w:tabs>
          <w:tab w:leader="none" w:pos="918" w:val="left"/>
        </w:tabs>
        <w:numPr>
          <w:ilvl w:val="0"/>
          <w:numId w:val="24"/>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Rights as Stockholder</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Neither the Participant nor any person claiming under or through the Participant will have any of the rights or privileges</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of a stockholder of the Company in respect of any Shares deliverable hereunder unless and until certificates representing such Shares are issued, recorded on the records of the Company or its transfer agents or registrars, and delivered to the Participant or Participant’s broker</w:t>
      </w:r>
      <w:r>
        <w:rPr>
          <w:rFonts w:ascii="Times New Roman" w:cs="Times New Roman" w:eastAsia="Times New Roman" w:hAnsi="Times New Roman"/>
          <w:sz w:val="18"/>
          <w:szCs w:val="18"/>
          <w:color w:val="161616"/>
        </w:rPr>
        <w:t>.</w:t>
      </w:r>
    </w:p>
    <w:p>
      <w:pPr>
        <w:spacing w:after="0" w:line="190" w:lineRule="exact"/>
        <w:rPr>
          <w:rFonts w:ascii="Times New Roman" w:cs="Times New Roman" w:eastAsia="Times New Roman" w:hAnsi="Times New Roman"/>
          <w:sz w:val="18"/>
          <w:szCs w:val="18"/>
          <w:color w:val="161616"/>
        </w:rPr>
      </w:pPr>
    </w:p>
    <w:p>
      <w:pPr>
        <w:ind w:right="260" w:firstLine="656"/>
        <w:spacing w:after="0" w:line="242" w:lineRule="auto"/>
        <w:tabs>
          <w:tab w:leader="none" w:pos="911" w:val="left"/>
        </w:tabs>
        <w:numPr>
          <w:ilvl w:val="0"/>
          <w:numId w:val="24"/>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No Right to Employment</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The Participant’s employment or other Service Provider status with the Company and its Subsidiaries is on an at-will basis only. Accordingly, the terms of the Participant’s employment or other Service Provider status with the Company and its Subsidiaries will be determined from time to time by the Company or the Subsidiary employing or retaining the Participant (as the case may be), and the Company or the Subsidiary will have the right, which is hereby expressly reserved, to terminate or change the terms of the employment or service relationship of the Participant at any time for any reason whatsoever, with or without good cause or notice</w:t>
      </w:r>
      <w:r>
        <w:rPr>
          <w:rFonts w:ascii="Times New Roman" w:cs="Times New Roman" w:eastAsia="Times New Roman" w:hAnsi="Times New Roman"/>
          <w:sz w:val="18"/>
          <w:szCs w:val="18"/>
          <w:color w:val="161616"/>
        </w:rPr>
        <w:t>.</w:t>
      </w:r>
    </w:p>
    <w:p>
      <w:pPr>
        <w:spacing w:after="0" w:line="211" w:lineRule="exact"/>
        <w:rPr>
          <w:rFonts w:ascii="Times New Roman" w:cs="Times New Roman" w:eastAsia="Times New Roman" w:hAnsi="Times New Roman"/>
          <w:sz w:val="18"/>
          <w:szCs w:val="18"/>
          <w:color w:val="161616"/>
        </w:rPr>
      </w:pPr>
    </w:p>
    <w:p>
      <w:pPr>
        <w:ind w:right="160" w:firstLine="656"/>
        <w:spacing w:after="0" w:line="245" w:lineRule="auto"/>
        <w:tabs>
          <w:tab w:leader="none" w:pos="918" w:val="left"/>
        </w:tabs>
        <w:numPr>
          <w:ilvl w:val="0"/>
          <w:numId w:val="24"/>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Address for Notices</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Any notice to be given to the Company under the terms of this Agreement must be addressed to the Company at 799 W.</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 xml:space="preserve">Coliseum Way, Midvale, Utah 84047, </w:t>
      </w:r>
      <w:r>
        <w:rPr>
          <w:rFonts w:ascii="Times New Roman" w:cs="Times New Roman" w:eastAsia="Times New Roman" w:hAnsi="Times New Roman"/>
          <w:sz w:val="18"/>
          <w:szCs w:val="18"/>
          <w:u w:val="single" w:color="auto"/>
          <w:color w:val="000000"/>
        </w:rPr>
        <w:t>Attn</w:t>
      </w:r>
      <w:r>
        <w:rPr>
          <w:rFonts w:ascii="Times New Roman" w:cs="Times New Roman" w:eastAsia="Times New Roman" w:hAnsi="Times New Roman"/>
          <w:sz w:val="18"/>
          <w:szCs w:val="18"/>
          <w:color w:val="000000"/>
        </w:rPr>
        <w:t>: Stock Administration, or at such other address as the Company may hereafter designate in writing or electronically. Any notice to be given to Participant shall be addressed to Participant at the address most recently found in the Company’s personnel records</w:t>
      </w:r>
      <w:r>
        <w:rPr>
          <w:rFonts w:ascii="Times New Roman" w:cs="Times New Roman" w:eastAsia="Times New Roman" w:hAnsi="Times New Roman"/>
          <w:sz w:val="18"/>
          <w:szCs w:val="18"/>
          <w:color w:val="161616"/>
        </w:rPr>
        <w:t>.</w:t>
      </w:r>
    </w:p>
    <w:p>
      <w:pPr>
        <w:spacing w:after="0" w:line="207" w:lineRule="exact"/>
        <w:rPr>
          <w:rFonts w:ascii="Times New Roman" w:cs="Times New Roman" w:eastAsia="Times New Roman" w:hAnsi="Times New Roman"/>
          <w:sz w:val="18"/>
          <w:szCs w:val="18"/>
          <w:color w:val="161616"/>
        </w:rPr>
      </w:pPr>
    </w:p>
    <w:p>
      <w:pPr>
        <w:ind w:right="20" w:firstLine="656"/>
        <w:spacing w:after="0" w:line="239" w:lineRule="auto"/>
        <w:tabs>
          <w:tab w:leader="none" w:pos="918" w:val="left"/>
        </w:tabs>
        <w:numPr>
          <w:ilvl w:val="0"/>
          <w:numId w:val="24"/>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Grant Not Transferable</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Except to the limited extent provided in paragraph 7, this grant and the rights and privileges conferred hereby shall not</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be transferred, assigned, pledged, or hypothecated in any way (whether by operation of law or otherwise) and shall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r>
        <w:rPr>
          <w:rFonts w:ascii="Times New Roman" w:cs="Times New Roman" w:eastAsia="Times New Roman" w:hAnsi="Times New Roman"/>
          <w:sz w:val="18"/>
          <w:szCs w:val="18"/>
          <w:color w:val="161616"/>
        </w:rPr>
        <w:t>.</w:t>
      </w:r>
    </w:p>
    <w:p>
      <w:pPr>
        <w:spacing w:after="0" w:line="211" w:lineRule="exact"/>
        <w:rPr>
          <w:rFonts w:ascii="Times New Roman" w:cs="Times New Roman" w:eastAsia="Times New Roman" w:hAnsi="Times New Roman"/>
          <w:sz w:val="18"/>
          <w:szCs w:val="18"/>
          <w:color w:val="161616"/>
        </w:rPr>
      </w:pPr>
    </w:p>
    <w:p>
      <w:pPr>
        <w:ind w:firstLine="656"/>
        <w:spacing w:after="0" w:line="242" w:lineRule="auto"/>
        <w:tabs>
          <w:tab w:leader="none" w:pos="918" w:val="left"/>
        </w:tabs>
        <w:numPr>
          <w:ilvl w:val="0"/>
          <w:numId w:val="24"/>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Restrictions on Sale of Securities</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Subject to the provisions of paragraph 16, the Company shall use its reasonable efforts to assure that the</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offering of Shares to be issued in payment of the vested RSUs is registered under the federal securities laws or qualifies for an available exemption from such registration requirements. However, any sale of any Shares by the Participant will be subject to the Company's Insider Trading Policy as amended from time to time and any other policies adopted by the Company relating to the sale of Company Common Stock and any market blackout-period that may be imposed by the Company. Further, the Participant is solely responsible for ensuring that any sale complies with all applicable securities laws</w:t>
      </w:r>
      <w:r>
        <w:rPr>
          <w:rFonts w:ascii="Times New Roman" w:cs="Times New Roman" w:eastAsia="Times New Roman" w:hAnsi="Times New Roman"/>
          <w:sz w:val="18"/>
          <w:szCs w:val="18"/>
          <w:color w:val="161616"/>
        </w:rPr>
        <w:t>.</w:t>
      </w:r>
    </w:p>
    <w:p>
      <w:pPr>
        <w:spacing w:after="0" w:line="211" w:lineRule="exact"/>
        <w:rPr>
          <w:rFonts w:ascii="Times New Roman" w:cs="Times New Roman" w:eastAsia="Times New Roman" w:hAnsi="Times New Roman"/>
          <w:sz w:val="18"/>
          <w:szCs w:val="18"/>
          <w:color w:val="161616"/>
        </w:rPr>
      </w:pPr>
    </w:p>
    <w:p>
      <w:pPr>
        <w:ind w:right="340" w:firstLine="656"/>
        <w:spacing w:after="0" w:line="266" w:lineRule="auto"/>
        <w:tabs>
          <w:tab w:leader="none" w:pos="918" w:val="left"/>
        </w:tabs>
        <w:numPr>
          <w:ilvl w:val="0"/>
          <w:numId w:val="24"/>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Binding Agreement</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Subject to the limitation on the transferability of this grant contained herein, this Agreement will be binding upon and</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inure to the benefit of the heirs, legatees, legal representatives, successors and assigns of the parties hereto</w:t>
      </w:r>
      <w:r>
        <w:rPr>
          <w:rFonts w:ascii="Times New Roman" w:cs="Times New Roman" w:eastAsia="Times New Roman" w:hAnsi="Times New Roman"/>
          <w:sz w:val="18"/>
          <w:szCs w:val="18"/>
          <w:color w:val="161616"/>
        </w:rPr>
        <w:t>.</w:t>
      </w:r>
    </w:p>
    <w:p>
      <w:pPr>
        <w:spacing w:after="0" w:line="189" w:lineRule="exact"/>
        <w:rPr>
          <w:rFonts w:ascii="Times New Roman" w:cs="Times New Roman" w:eastAsia="Times New Roman" w:hAnsi="Times New Roman"/>
          <w:sz w:val="18"/>
          <w:szCs w:val="18"/>
          <w:color w:val="161616"/>
        </w:rPr>
      </w:pPr>
    </w:p>
    <w:p>
      <w:pPr>
        <w:ind w:right="100" w:firstLine="656"/>
        <w:spacing w:after="0" w:line="237" w:lineRule="auto"/>
        <w:tabs>
          <w:tab w:leader="none" w:pos="918" w:val="left"/>
        </w:tabs>
        <w:numPr>
          <w:ilvl w:val="0"/>
          <w:numId w:val="24"/>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Additional Conditions to Issuance of Stock</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If at any time the Company determines, in its discretion, that the listing, registration or</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qualification of the Shares upon any securities exchange or under any state or federal law, or the consent or approval of any governmental regulatory authority is necessary or desirable as a condition to the issuance of Shares to the Participant (or his or her estate or beneficiary), such issuance will not occur unless and until such listing, registration, qualification, consent or approval have been effected or obtained, free of any conditions not acceptable to the Company. The Company will make all reasonable efforts to meet the requirements of any such state or federal law or securities exchange and to obtain any such consent or approval of any such governmental authority. In no event, however, shall any Shares be issued in contravention of applicable federal and state securities laws or other regulatory requirements</w:t>
      </w:r>
      <w:r>
        <w:rPr>
          <w:rFonts w:ascii="Times New Roman" w:cs="Times New Roman" w:eastAsia="Times New Roman" w:hAnsi="Times New Roman"/>
          <w:sz w:val="18"/>
          <w:szCs w:val="18"/>
          <w:color w:val="161616"/>
        </w:rPr>
        <w:t>.</w:t>
      </w:r>
    </w:p>
    <w:p>
      <w:pPr>
        <w:spacing w:after="0" w:line="216" w:lineRule="exact"/>
        <w:rPr>
          <w:rFonts w:ascii="Times New Roman" w:cs="Times New Roman" w:eastAsia="Times New Roman" w:hAnsi="Times New Roman"/>
          <w:sz w:val="18"/>
          <w:szCs w:val="18"/>
          <w:color w:val="161616"/>
        </w:rPr>
      </w:pPr>
    </w:p>
    <w:p>
      <w:pPr>
        <w:ind w:firstLine="656"/>
        <w:spacing w:after="0" w:line="250" w:lineRule="auto"/>
        <w:tabs>
          <w:tab w:leader="none" w:pos="918" w:val="left"/>
        </w:tabs>
        <w:numPr>
          <w:ilvl w:val="0"/>
          <w:numId w:val="24"/>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Plan Governs</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This Agreement and the Restricted Stock Unit Grant Notice are subject to all terms and provisions of the Plan. In the event of a</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conflict between one or more provisions of this Agreement or the Restricted Stock Unit Grant Notice and one or more provisions of the Plan, the provisions of the Plan will govern</w:t>
      </w:r>
      <w:r>
        <w:rPr>
          <w:rFonts w:ascii="Times New Roman" w:cs="Times New Roman" w:eastAsia="Times New Roman" w:hAnsi="Times New Roman"/>
          <w:sz w:val="18"/>
          <w:szCs w:val="18"/>
          <w:color w:val="161616"/>
        </w:rPr>
        <w:t>.</w:t>
      </w:r>
    </w:p>
    <w:p>
      <w:pPr>
        <w:spacing w:after="0" w:line="203" w:lineRule="exact"/>
        <w:rPr>
          <w:rFonts w:ascii="Times New Roman" w:cs="Times New Roman" w:eastAsia="Times New Roman" w:hAnsi="Times New Roman"/>
          <w:sz w:val="18"/>
          <w:szCs w:val="18"/>
          <w:color w:val="161616"/>
        </w:rPr>
      </w:pPr>
    </w:p>
    <w:p>
      <w:pPr>
        <w:ind w:right="60" w:firstLine="656"/>
        <w:spacing w:after="0" w:line="241" w:lineRule="auto"/>
        <w:tabs>
          <w:tab w:leader="none" w:pos="918" w:val="left"/>
        </w:tabs>
        <w:numPr>
          <w:ilvl w:val="0"/>
          <w:numId w:val="24"/>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Administrator Authority</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The Administrator will have the power to interpret the Plan and this Agreement and the Restricted Stock Unit Grant</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Notice and to adopt such rules for the administration, interpretation and application of the Plan as are consistent therewith and to interpret or revoke any such rules (including, but not limited to, the determination of whether or not any RSUs have vested). All actions taken and all interpretations and determinations made by the Administrator in good faith will be final and binding upon Participant, the Company, and all other persons. No member of the Administrator will be personally liable for any action, determination or interpretation made in good faith with respect to the Plan, the Restricted Stock Unit Grant Notice, or this Agreement</w:t>
      </w:r>
      <w:r>
        <w:rPr>
          <w:rFonts w:ascii="Times New Roman" w:cs="Times New Roman" w:eastAsia="Times New Roman" w:hAnsi="Times New Roman"/>
          <w:sz w:val="18"/>
          <w:szCs w:val="18"/>
          <w:color w:val="161616"/>
        </w:rPr>
        <w:t>.</w:t>
      </w:r>
    </w:p>
    <w:p>
      <w:pPr>
        <w:sectPr>
          <w:pgSz w:w="11900" w:h="16838" w:orient="portrait"/>
          <w:cols w:equalWidth="0" w:num="1">
            <w:col w:w="11240"/>
          </w:cols>
          <w:pgMar w:left="320" w:top="877" w:right="339" w:bottom="1440" w:gutter="0" w:footer="0" w:header="0"/>
        </w:sectPr>
      </w:pPr>
    </w:p>
    <w:bookmarkStart w:id="50" w:name="page51"/>
    <w:bookmarkEnd w:id="50"/>
    <w:p>
      <w:pPr>
        <w:ind w:left="920" w:hanging="264"/>
        <w:spacing w:after="0"/>
        <w:tabs>
          <w:tab w:leader="none" w:pos="920" w:val="left"/>
        </w:tabs>
        <w:numPr>
          <w:ilvl w:val="0"/>
          <w:numId w:val="25"/>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Captions</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Captions provided herein are for convenience only and are not to serve as a basis for interpretation or construction of this</w:t>
      </w:r>
    </w:p>
    <w:p>
      <w:pPr>
        <w:spacing w:after="0" w:line="15" w:lineRule="exact"/>
        <w:rPr>
          <w:rFonts w:ascii="Times New Roman" w:cs="Times New Roman" w:eastAsia="Times New Roman" w:hAnsi="Times New Roman"/>
          <w:sz w:val="18"/>
          <w:szCs w:val="18"/>
          <w:color w:val="161616"/>
        </w:rPr>
      </w:pPr>
    </w:p>
    <w:p>
      <w:pPr>
        <w:spacing w:after="0"/>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auto"/>
        </w:rPr>
        <w:t>Agreement</w:t>
      </w:r>
      <w:r>
        <w:rPr>
          <w:rFonts w:ascii="Times New Roman" w:cs="Times New Roman" w:eastAsia="Times New Roman" w:hAnsi="Times New Roman"/>
          <w:sz w:val="18"/>
          <w:szCs w:val="18"/>
          <w:color w:val="161616"/>
        </w:rPr>
        <w:t>.</w:t>
      </w:r>
    </w:p>
    <w:p>
      <w:pPr>
        <w:spacing w:after="0" w:line="218" w:lineRule="exact"/>
        <w:rPr>
          <w:rFonts w:ascii="Times New Roman" w:cs="Times New Roman" w:eastAsia="Times New Roman" w:hAnsi="Times New Roman"/>
          <w:sz w:val="18"/>
          <w:szCs w:val="18"/>
          <w:color w:val="161616"/>
        </w:rPr>
      </w:pPr>
    </w:p>
    <w:p>
      <w:pPr>
        <w:ind w:right="20" w:firstLine="656"/>
        <w:spacing w:after="0" w:line="266" w:lineRule="auto"/>
        <w:tabs>
          <w:tab w:leader="none" w:pos="918" w:val="left"/>
        </w:tabs>
        <w:numPr>
          <w:ilvl w:val="0"/>
          <w:numId w:val="25"/>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Agreement Severable</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In the event that any provision in this Agreement will be held invalid or unenforceable, such provision will be severable</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from, and such invalidity or unenforceability will not be construed to have any effect on, the remaining provisions of this Agreement</w:t>
      </w:r>
      <w:r>
        <w:rPr>
          <w:rFonts w:ascii="Times New Roman" w:cs="Times New Roman" w:eastAsia="Times New Roman" w:hAnsi="Times New Roman"/>
          <w:sz w:val="18"/>
          <w:szCs w:val="18"/>
          <w:color w:val="161616"/>
        </w:rPr>
        <w:t>.</w:t>
      </w:r>
    </w:p>
    <w:p>
      <w:pPr>
        <w:spacing w:after="0" w:line="189" w:lineRule="exact"/>
        <w:rPr>
          <w:rFonts w:ascii="Times New Roman" w:cs="Times New Roman" w:eastAsia="Times New Roman" w:hAnsi="Times New Roman"/>
          <w:sz w:val="18"/>
          <w:szCs w:val="18"/>
          <w:color w:val="161616"/>
        </w:rPr>
      </w:pPr>
    </w:p>
    <w:p>
      <w:pPr>
        <w:ind w:right="20" w:firstLine="656"/>
        <w:spacing w:after="0" w:line="237" w:lineRule="auto"/>
        <w:tabs>
          <w:tab w:leader="none" w:pos="918" w:val="left"/>
        </w:tabs>
        <w:numPr>
          <w:ilvl w:val="0"/>
          <w:numId w:val="25"/>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Modifications to the Agreement</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This Agreement constitutes the entire understanding of the parties regarding the subjects covered. The</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amend this Agreement as it deems necessary or advisable, in its sole discretion and without the consent of the Participant, to comply with applicable law, including without limitation Section 409A of the Code or to otherwise avoid imposition of any additional tax or income recognition under Section 409A of the Code prior to the actual payment of Shares pursuant to this RSU award</w:t>
      </w:r>
      <w:r>
        <w:rPr>
          <w:rFonts w:ascii="Times New Roman" w:cs="Times New Roman" w:eastAsia="Times New Roman" w:hAnsi="Times New Roman"/>
          <w:sz w:val="18"/>
          <w:szCs w:val="18"/>
          <w:color w:val="161616"/>
        </w:rPr>
        <w:t>.</w:t>
      </w:r>
    </w:p>
    <w:p>
      <w:pPr>
        <w:spacing w:after="0" w:line="216" w:lineRule="exact"/>
        <w:rPr>
          <w:rFonts w:ascii="Times New Roman" w:cs="Times New Roman" w:eastAsia="Times New Roman" w:hAnsi="Times New Roman"/>
          <w:sz w:val="18"/>
          <w:szCs w:val="18"/>
          <w:color w:val="161616"/>
        </w:rPr>
      </w:pPr>
    </w:p>
    <w:p>
      <w:pPr>
        <w:ind w:firstLine="656"/>
        <w:spacing w:after="0" w:line="250" w:lineRule="auto"/>
        <w:tabs>
          <w:tab w:leader="none" w:pos="918" w:val="left"/>
        </w:tabs>
        <w:numPr>
          <w:ilvl w:val="0"/>
          <w:numId w:val="25"/>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Amendment, Suspension or Termination of the Plan</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By accepting this RSU award, the Participant expressly warrants that he or she has</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received a right to purchase stock under the Plan, and has received, read, and understood a description of the Plan. The Participant understands that the Plan is discretionary in nature and may be modified, suspended, or terminated by the Company at any time</w:t>
      </w:r>
      <w:r>
        <w:rPr>
          <w:rFonts w:ascii="Times New Roman" w:cs="Times New Roman" w:eastAsia="Times New Roman" w:hAnsi="Times New Roman"/>
          <w:sz w:val="18"/>
          <w:szCs w:val="18"/>
          <w:color w:val="161616"/>
        </w:rPr>
        <w:t>.</w:t>
      </w:r>
    </w:p>
    <w:p>
      <w:pPr>
        <w:spacing w:after="0" w:line="203" w:lineRule="exact"/>
        <w:rPr>
          <w:rFonts w:ascii="Times New Roman" w:cs="Times New Roman" w:eastAsia="Times New Roman" w:hAnsi="Times New Roman"/>
          <w:sz w:val="18"/>
          <w:szCs w:val="18"/>
          <w:color w:val="161616"/>
        </w:rPr>
      </w:pPr>
    </w:p>
    <w:p>
      <w:pPr>
        <w:ind w:right="100" w:firstLine="656"/>
        <w:spacing w:after="0" w:line="242" w:lineRule="auto"/>
        <w:tabs>
          <w:tab w:leader="none" w:pos="918" w:val="left"/>
        </w:tabs>
        <w:numPr>
          <w:ilvl w:val="0"/>
          <w:numId w:val="25"/>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Electronic Delivery</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The Company may, in its sole discretion, decide to deliver any notices required or permitted hereunder or under the Plan</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and any documents related to RSUs awarded under the Plan or future RSUs that may be awarded under the Plan by electronic means or request the Participant’s consent to participate in the Plan by electronic means. By accepting this RSU award, the Participant hereby consents to receive such documents by electronic delivery and agrees to participate in the Plan through an on-line or electronic system established and maintained by the Company or another third party designated by the Company</w:t>
      </w:r>
    </w:p>
    <w:p>
      <w:pPr>
        <w:spacing w:after="0" w:line="211" w:lineRule="exact"/>
        <w:rPr>
          <w:rFonts w:ascii="Times New Roman" w:cs="Times New Roman" w:eastAsia="Times New Roman" w:hAnsi="Times New Roman"/>
          <w:sz w:val="18"/>
          <w:szCs w:val="18"/>
          <w:color w:val="161616"/>
        </w:rPr>
      </w:pPr>
    </w:p>
    <w:p>
      <w:pPr>
        <w:ind w:right="400" w:firstLine="656"/>
        <w:spacing w:after="0" w:line="250" w:lineRule="auto"/>
        <w:tabs>
          <w:tab w:leader="none" w:pos="918" w:val="left"/>
        </w:tabs>
        <w:numPr>
          <w:ilvl w:val="0"/>
          <w:numId w:val="25"/>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Notice of Governing Law</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This RSU award shall be governed by, and construed in accordance with, the laws of the State of Utah without</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regard to principles of conflict of laws</w:t>
      </w:r>
      <w:r>
        <w:rPr>
          <w:rFonts w:ascii="Times New Roman" w:cs="Times New Roman" w:eastAsia="Times New Roman" w:hAnsi="Times New Roman"/>
          <w:sz w:val="18"/>
          <w:szCs w:val="18"/>
          <w:color w:val="161616"/>
        </w:rPr>
        <w:t>.</w:t>
      </w:r>
    </w:p>
    <w:p>
      <w:pPr>
        <w:spacing w:after="0" w:line="203" w:lineRule="exact"/>
        <w:rPr>
          <w:rFonts w:ascii="Times New Roman" w:cs="Times New Roman" w:eastAsia="Times New Roman" w:hAnsi="Times New Roman"/>
          <w:sz w:val="18"/>
          <w:szCs w:val="18"/>
          <w:color w:val="161616"/>
        </w:rPr>
      </w:pPr>
    </w:p>
    <w:p>
      <w:pPr>
        <w:ind w:firstLine="656"/>
        <w:spacing w:after="0" w:line="238" w:lineRule="auto"/>
        <w:tabs>
          <w:tab w:leader="none" w:pos="918" w:val="left"/>
        </w:tabs>
        <w:numPr>
          <w:ilvl w:val="0"/>
          <w:numId w:val="25"/>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u w:val="single" w:color="auto"/>
          <w:color w:val="161616"/>
        </w:rPr>
        <w:t>Section 409A</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Payments under this Agreement are intended to be exempt from, or comply with, the provisions of Section 409A of the Internal</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Revenue Code of 1986 (“Section 409A”) and this Agreement shall be administered and construed accordingly. If any payment, compensation or other benefit provided to the Participant in connection with his or her employment termination is determined, in whole or in part, to constitute “nonqualified deferred compensation” within the meaning of Section 409A and the Participant is a specified employee as defined in Section 409A(2)(B)(i), no part of such payments shall be paid unless Participant’s termination is also his or her “separation from service” (as defined in Section 409A) and no part of such payments shall be paid before the day that is six (6) months plus one (1) day after the date of termination (the “New Payment Date”). The aggregate of any payments that otherwise would have been paid to the Participant during the period between the date of termination and the New Payment Date shall be paid to the Participant in a lump sum on such New Payment Date. For purposes of Section 409A, all payments with respect to the RSUs are hereby designated as separate payments from any other payments or benefits to which the Participant is entitled (whether under the Plan, any other agreement, or any non-qualified deferred compensation or arrangement to which the Participant is a party or in which the Participant is a participant).</w:t>
      </w:r>
    </w:p>
    <w:p>
      <w:pPr>
        <w:sectPr>
          <w:pgSz w:w="11900" w:h="16838" w:orient="portrait"/>
          <w:cols w:equalWidth="0" w:num="1">
            <w:col w:w="11220"/>
          </w:cols>
          <w:pgMar w:left="320" w:top="1120" w:right="3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 Nielsen, certify that:</w:t>
      </w:r>
    </w:p>
    <w:p>
      <w:pPr>
        <w:spacing w:after="0" w:line="225" w:lineRule="exact"/>
        <w:rPr>
          <w:sz w:val="20"/>
          <w:szCs w:val="20"/>
          <w:color w:val="auto"/>
        </w:rPr>
      </w:pPr>
    </w:p>
    <w:p>
      <w:pPr>
        <w:ind w:left="1060" w:hanging="728"/>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Beyond, Inc.;</w:t>
      </w:r>
    </w:p>
    <w:p>
      <w:pPr>
        <w:spacing w:after="0" w:line="22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10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20" w:hanging="328"/>
        <w:spacing w:after="0" w:line="312" w:lineRule="auto"/>
        <w:tabs>
          <w:tab w:leader="none" w:pos="101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660" w:right="380" w:hanging="328"/>
        <w:spacing w:after="0" w:line="266" w:lineRule="auto"/>
        <w:tabs>
          <w:tab w:leader="none" w:pos="10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40" w:hanging="324"/>
        <w:spacing w:after="0" w:line="266" w:lineRule="auto"/>
        <w:tabs>
          <w:tab w:leader="none" w:pos="127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128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3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128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10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127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128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J. NIELSEN</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J. Nielsen</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Adrianne B. Lee, certify that:</w:t>
      </w:r>
    </w:p>
    <w:p>
      <w:pPr>
        <w:spacing w:after="0" w:line="225" w:lineRule="exact"/>
        <w:rPr>
          <w:sz w:val="20"/>
          <w:szCs w:val="20"/>
          <w:color w:val="auto"/>
        </w:rPr>
      </w:pPr>
    </w:p>
    <w:p>
      <w:pPr>
        <w:ind w:left="1060" w:hanging="728"/>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Beyond, Inc.;</w:t>
      </w:r>
    </w:p>
    <w:p>
      <w:pPr>
        <w:spacing w:after="0" w:line="22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10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20" w:hanging="328"/>
        <w:spacing w:after="0" w:line="312" w:lineRule="auto"/>
        <w:tabs>
          <w:tab w:leader="none" w:pos="101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660" w:right="380" w:hanging="328"/>
        <w:spacing w:after="0" w:line="266" w:lineRule="auto"/>
        <w:tabs>
          <w:tab w:leader="none" w:pos="100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40" w:hanging="324"/>
        <w:spacing w:after="0" w:line="266" w:lineRule="auto"/>
        <w:tabs>
          <w:tab w:leader="none" w:pos="127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128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32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128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10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127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128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ADRIANNE B. LEE</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Adrianne B. Lee</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&amp; Administrative Officer</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 Nielsen, certify, pursuant to 18 U.S.C. Section 1350, as adopted pursuant to Section 906 of the Sarbanes-Oxley Act of 2002, as amended,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Quarterly Report on Form 10-Q of Beyond, Inc. for the quarter ended June 30, 2024 (the "Report") fully complies with the requirements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13(a) or 15(d) of the Securities Exchange Act of 1934, as amended, and that information contained in such Report fairly presents in all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respects the financial condition and results of operations of Beyond, Inc.</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J. NIELSEN</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J. Nielsen</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Adrianne B. Lee, certify, pursuant to 18 U.S.C. Section 1350, as adopted pursuant to Section 906 of the Sarbanes-Oxley Act of 2002, as amended,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Quarterly Report on Form 10-Q of Beyond, Inc. for the quarter ended June 30, 2024 (the "Report") fully complies with the requirements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13(a) or 15(d) of the Securities Exchange Act of 1934, as amended, and that information contained in such Report fairly presents in all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respects the financial condition and results of operations of Beyond, Inc.</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ADRIANNE B. LEE</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Adrianne B. Lee</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&amp; Administrative Officer</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lvl w:ilvl="1">
      <w:lvlJc w:val="left"/>
      <w:lvlText w:val="(%2)"/>
      <w:numFmt w:val="decimal"/>
      <w:start w:val="1"/>
    </w:lvl>
  </w:abstractNum>
  <w:abstractNum w:abstractNumId="6">
    <w:nsid w:val="25E45D32"/>
    <w:multiLevelType w:val="hybridMultilevel"/>
    <w:lvl w:ilvl="0">
      <w:lvlJc w:val="left"/>
      <w:lvlText w:val="%1."/>
      <w:numFmt w:val="decimal"/>
      <w:start w:val="7"/>
    </w:lvl>
    <w:lvl w:ilvl="1">
      <w:lvlJc w:val="left"/>
      <w:lvlText w:val="%2"/>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740"/>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decimal"/>
      <w:start w:val="101"/>
    </w:lvl>
  </w:abstractNum>
  <w:abstractNum w:abstractNumId="12">
    <w:nsid w:val="62BBD95A"/>
    <w:multiLevelType w:val="hybridMultilevel"/>
    <w:lvl w:ilvl="0">
      <w:lvlJc w:val="left"/>
      <w:lvlText w:val="%1"/>
      <w:numFmt w:val="decimal"/>
      <w:start w:val="104"/>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lvl w:ilvl="1">
      <w:lvlJc w:val="left"/>
      <w:lvlText w:val="(%2)"/>
      <w:numFmt w:val="lowerLetter"/>
      <w:start w:val="1"/>
    </w:lvl>
  </w:abstractNum>
  <w:abstractNum w:abstractNumId="16">
    <w:nsid w:val="721DA31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
    <w:nsid w:val="2443A858"/>
    <w:multiLevelType w:val="hybridMultilevel"/>
    <w:lvl w:ilvl="0">
      <w:lvlJc w:val="left"/>
      <w:lvlText w:val="%1"/>
      <w:numFmt w:val="decimal"/>
      <w:start w:val="1"/>
    </w:lvl>
    <w:lvl w:ilvl="1">
      <w:lvlJc w:val="left"/>
      <w:lvlText w:val="(%2)"/>
      <w:numFmt w:val="lowerLetter"/>
      <w:start w:val="4"/>
    </w:lvl>
  </w:abstractNum>
  <w:abstractNum w:abstractNumId="18">
    <w:nsid w:val="2D1D5AE9"/>
    <w:multiLevelType w:val="hybridMultilevel"/>
    <w:lvl w:ilvl="0">
      <w:lvlJc w:val="left"/>
      <w:lvlText w:val="%1."/>
      <w:numFmt w:val="decimal"/>
      <w:start w:val="5"/>
    </w:lvl>
    <w:lvl w:ilvl="1">
      <w:lvlJc w:val="left"/>
      <w:lvlText w:val="(%2)"/>
      <w:numFmt w:val="lowerLetter"/>
      <w:start w:val="1"/>
    </w:lvl>
  </w:abstractNum>
  <w:abstractNum w:abstractNumId="19">
    <w:nsid w:val="6763845E"/>
    <w:multiLevelType w:val="hybridMultilevel"/>
    <w:lvl w:ilvl="0">
      <w:lvlJc w:val="left"/>
      <w:lvlText w:val="(%1)"/>
      <w:numFmt w:val="lowerLetter"/>
      <w:start w:val="2"/>
    </w:lvl>
  </w:abstractNum>
  <w:abstractNum w:abstractNumId="20">
    <w:nsid w:val="75A2A8D4"/>
    <w:multiLevelType w:val="hybridMultilevel"/>
    <w:lvl w:ilvl="0">
      <w:lvlJc w:val="left"/>
      <w:lvlText w:val="%1."/>
      <w:numFmt w:val="decimal"/>
      <w:start w:val="7"/>
    </w:lvl>
  </w:abstractNum>
  <w:abstractNum w:abstractNumId="21">
    <w:nsid w:val="8EDBDAB"/>
    <w:multiLevelType w:val="hybridMultilevel"/>
    <w:lvl w:ilvl="0">
      <w:lvlJc w:val="left"/>
      <w:lvlText w:val="%1."/>
      <w:numFmt w:val="decimal"/>
      <w:start w:val="18"/>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0"/>
    </w:lvl>
  </w:abstractNum>
  <w:abstractNum w:abstractNumId="24">
    <w:nsid w:val="B03E0C6"/>
    <w:multiLevelType w:val="hybridMultilevel"/>
    <w:lvl w:ilvl="0">
      <w:lvlJc w:val="left"/>
      <w:lvlText w:val="%1."/>
      <w:numFmt w:val="decimal"/>
      <w:start w:val="19"/>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49" Type="http://schemas.openxmlformats.org/officeDocument/2006/relationships/hyperlink" Target="https://www.sec.gov/Archives/edgar/data/1130713/000114036123029505/brhc20054372_ex2-1.htm" TargetMode="External"/><Relationship Id="rId50" Type="http://schemas.openxmlformats.org/officeDocument/2006/relationships/hyperlink" Target="https://www.sec.gov/Archives/edgar/data/1130713/000113071314000051/ex-31certificateofincorpor.htm" TargetMode="External"/><Relationship Id="rId51" Type="http://schemas.openxmlformats.org/officeDocument/2006/relationships/hyperlink" Target="https://www.sec.gov/Archives/edgar/data/1130713/000114036123051490/ef20013966_ex3-2.htm" TargetMode="External"/><Relationship Id="rId52" Type="http://schemas.openxmlformats.org/officeDocument/2006/relationships/hyperlink" Target="https://www.sec.gov/Archives/edgar/data/1130713/000113071324000037/ex31.htm" TargetMode="External"/><Relationship Id="rId53" Type="http://schemas.openxmlformats.org/officeDocument/2006/relationships/hyperlink" Target="https://www.sec.gov/Archives/edgar/data/1130713/000113071324000037/ex32.htm" TargetMode="External"/><Relationship Id="rId54" Type="http://schemas.openxmlformats.org/officeDocument/2006/relationships/hyperlink" Target="https://www.sec.gov/Archives/edgar/data/1130713/000114036124029414/ny20030476x1_ex4-3.htm" TargetMode="External"/><Relationship Id="rId55" Type="http://schemas.openxmlformats.org/officeDocument/2006/relationships/hyperlink" Target="https://www.sec.gov/Archives/edgar/data/1130713/000113071324000037/ex101.htm" TargetMode="External"/><Relationship Id="rId56" Type="http://schemas.openxmlformats.org/officeDocument/2006/relationships/hyperlink" Target="https://www.sec.gov/Archives/edgar/data/1130713/000113071324000037/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2024-07-31T05:34:25Z</dcterms:created>
  <dcterms:modified xsi:type="dcterms:W3CDTF">2024-07-31T05:34:25Z</dcterms:modified>
</cp:coreProperties>
</file>